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sz w:val="44"/>
        </w:rPr>
      </w:pPr>
    </w:p>
    <w:p>
      <w:pPr>
        <w:spacing w:line="720" w:lineRule="auto"/>
        <w:jc w:val="center"/>
        <w:rPr>
          <w:rFonts w:ascii="黑体" w:hAnsi="黑体" w:eastAsia="黑体"/>
          <w:sz w:val="44"/>
        </w:rPr>
      </w:pPr>
      <w:r>
        <w:rPr>
          <w:rFonts w:hint="eastAsia" w:ascii="黑体" w:hAnsi="黑体" w:eastAsia="黑体"/>
          <w:sz w:val="44"/>
          <w:lang w:val="en-US" w:eastAsia="zh-CN"/>
        </w:rPr>
        <w:t>江苏东渡纺织集团</w:t>
      </w:r>
      <w:r>
        <w:rPr>
          <w:rFonts w:hint="eastAsia" w:ascii="黑体" w:hAnsi="黑体" w:eastAsia="黑体"/>
          <w:sz w:val="44"/>
        </w:rPr>
        <w:t>有限公司</w:t>
      </w:r>
    </w:p>
    <w:p>
      <w:pPr>
        <w:spacing w:line="720" w:lineRule="auto"/>
        <w:jc w:val="center"/>
        <w:rPr>
          <w:rFonts w:ascii="黑体" w:hAnsi="黑体" w:eastAsia="黑体"/>
          <w:sz w:val="44"/>
        </w:rPr>
      </w:pPr>
      <w:r>
        <w:rPr>
          <w:rFonts w:hint="eastAsia" w:ascii="黑体" w:hAnsi="黑体" w:eastAsia="黑体"/>
          <w:sz w:val="44"/>
        </w:rPr>
        <w:t>201</w:t>
      </w:r>
      <w:r>
        <w:rPr>
          <w:rFonts w:hint="eastAsia" w:ascii="黑体" w:hAnsi="黑体" w:eastAsia="黑体"/>
          <w:sz w:val="44"/>
          <w:lang w:val="en-US" w:eastAsia="zh-CN"/>
        </w:rPr>
        <w:t>9</w:t>
      </w:r>
      <w:r>
        <w:rPr>
          <w:rFonts w:hint="eastAsia" w:ascii="黑体" w:hAnsi="黑体" w:eastAsia="黑体"/>
          <w:sz w:val="44"/>
        </w:rPr>
        <w:t>年度企业社会责任报告</w:t>
      </w:r>
    </w:p>
    <w:p>
      <w:pPr>
        <w:spacing w:line="360" w:lineRule="auto"/>
        <w:jc w:val="left"/>
        <w:rPr>
          <w:rFonts w:asciiTheme="majorEastAsia" w:hAnsiTheme="majorEastAsia" w:eastAsiaTheme="majorEastAsia"/>
          <w:sz w:val="32"/>
        </w:rPr>
      </w:pPr>
      <w:r>
        <w:rPr>
          <w:rFonts w:hint="eastAsia" w:ascii="黑体" w:hAnsi="黑体" w:eastAsia="黑体"/>
          <w:sz w:val="44"/>
        </w:rPr>
        <w:drawing>
          <wp:anchor distT="0" distB="0" distL="114300" distR="114300" simplePos="0" relativeHeight="251658240" behindDoc="0" locked="0" layoutInCell="1" allowOverlap="1">
            <wp:simplePos x="0" y="0"/>
            <wp:positionH relativeFrom="column">
              <wp:posOffset>213995</wp:posOffset>
            </wp:positionH>
            <wp:positionV relativeFrom="paragraph">
              <wp:posOffset>125095</wp:posOffset>
            </wp:positionV>
            <wp:extent cx="5226685" cy="2353945"/>
            <wp:effectExtent l="0" t="0" r="5715" b="8255"/>
            <wp:wrapSquare wrapText="bothSides"/>
            <wp:docPr id="1" name="图片 1" descr="D:\ShareCache\集团照片\公司照片\新总部外景.jpg新总部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hareCache\集团照片\公司照片\新总部外景.jpg新总部外景"/>
                    <pic:cNvPicPr>
                      <a:picLocks noChangeAspect="1" noChangeArrowheads="1"/>
                    </pic:cNvPicPr>
                  </pic:nvPicPr>
                  <pic:blipFill>
                    <a:blip r:embed="rId6"/>
                    <a:srcRect/>
                    <a:stretch>
                      <a:fillRect/>
                    </a:stretch>
                  </pic:blipFill>
                  <pic:spPr>
                    <a:xfrm>
                      <a:off x="0" y="0"/>
                      <a:ext cx="5226685" cy="2353945"/>
                    </a:xfrm>
                    <a:prstGeom prst="rect">
                      <a:avLst/>
                    </a:prstGeom>
                    <a:noFill/>
                    <a:ln w="9525">
                      <a:noFill/>
                      <a:miter lim="800000"/>
                      <a:headEnd/>
                      <a:tailEnd/>
                    </a:ln>
                  </pic:spPr>
                </pic:pic>
              </a:graphicData>
            </a:graphic>
          </wp:anchor>
        </w:drawing>
      </w: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sectPr>
          <w:footerReference r:id="rId3" w:type="default"/>
          <w:pgSz w:w="11906" w:h="16838"/>
          <w:pgMar w:top="1440" w:right="1800" w:bottom="1440" w:left="1800" w:header="851" w:footer="992" w:gutter="0"/>
          <w:cols w:space="425" w:num="1"/>
          <w:docGrid w:type="lines" w:linePitch="312" w:charSpace="0"/>
        </w:sectPr>
      </w:pPr>
    </w:p>
    <w:p>
      <w:pPr>
        <w:tabs>
          <w:tab w:val="left" w:pos="2110"/>
        </w:tabs>
        <w:spacing w:line="360" w:lineRule="auto"/>
        <w:rPr>
          <w:rFonts w:asciiTheme="majorEastAsia" w:hAnsiTheme="majorEastAsia" w:eastAsiaTheme="majorEastAsia"/>
          <w:b/>
          <w:sz w:val="32"/>
        </w:rPr>
      </w:pPr>
      <w:r>
        <w:rPr>
          <w:rFonts w:hint="eastAsia" w:asciiTheme="majorEastAsia" w:hAnsiTheme="majorEastAsia" w:eastAsiaTheme="majorEastAsia"/>
          <w:b/>
          <w:sz w:val="32"/>
        </w:rPr>
        <w:t>关于本报告</w:t>
      </w:r>
      <w:r>
        <w:rPr>
          <w:rFonts w:asciiTheme="majorEastAsia" w:hAnsiTheme="majorEastAsia" w:eastAsiaTheme="majorEastAsia"/>
          <w:b/>
          <w:sz w:val="32"/>
        </w:rPr>
        <w:tab/>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报告时间范围：201</w:t>
      </w:r>
      <w:r>
        <w:rPr>
          <w:rFonts w:hint="eastAsia" w:asciiTheme="majorEastAsia" w:hAnsiTheme="majorEastAsia" w:eastAsiaTheme="majorEastAsia"/>
          <w:sz w:val="24"/>
          <w:lang w:val="en-US" w:eastAsia="zh-CN"/>
        </w:rPr>
        <w:t>9</w:t>
      </w:r>
      <w:r>
        <w:rPr>
          <w:rFonts w:hint="eastAsia" w:asciiTheme="majorEastAsia" w:hAnsiTheme="majorEastAsia" w:eastAsiaTheme="majorEastAsia"/>
          <w:sz w:val="24"/>
        </w:rPr>
        <w:t>年1月1日至20</w:t>
      </w:r>
      <w:r>
        <w:rPr>
          <w:rFonts w:hint="eastAsia" w:asciiTheme="majorEastAsia" w:hAnsiTheme="majorEastAsia" w:eastAsiaTheme="majorEastAsia"/>
          <w:sz w:val="24"/>
          <w:lang w:val="en-US" w:eastAsia="zh-CN"/>
        </w:rPr>
        <w:t>19</w:t>
      </w:r>
      <w:r>
        <w:rPr>
          <w:rFonts w:hint="eastAsia" w:asciiTheme="majorEastAsia" w:hAnsiTheme="majorEastAsia" w:eastAsiaTheme="majorEastAsia"/>
          <w:sz w:val="24"/>
        </w:rPr>
        <w:t>年12月31日，部分内容适当追溯到以往年份。</w:t>
      </w:r>
    </w:p>
    <w:p>
      <w:pPr>
        <w:spacing w:line="360" w:lineRule="auto"/>
        <w:ind w:firstLine="480" w:firstLineChars="200"/>
        <w:rPr>
          <w:rFonts w:asciiTheme="majorEastAsia" w:hAnsiTheme="majorEastAsia" w:eastAsiaTheme="majorEastAsia"/>
          <w:sz w:val="24"/>
        </w:r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报告组织范围：</w:t>
      </w:r>
      <w:r>
        <w:rPr>
          <w:rFonts w:hint="eastAsia" w:asciiTheme="majorEastAsia" w:hAnsiTheme="majorEastAsia" w:eastAsiaTheme="majorEastAsia"/>
          <w:sz w:val="24"/>
          <w:lang w:val="en-US" w:eastAsia="zh-CN"/>
        </w:rPr>
        <w:t>江苏东渡纺织集</w:t>
      </w:r>
    </w:p>
    <w:p>
      <w:pPr>
        <w:spacing w:line="360" w:lineRule="auto"/>
        <w:ind w:firstLine="480" w:firstLineChars="200"/>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团</w:t>
      </w:r>
      <w:r>
        <w:rPr>
          <w:rFonts w:hint="eastAsia" w:asciiTheme="majorEastAsia" w:hAnsiTheme="majorEastAsia" w:eastAsiaTheme="majorEastAsia"/>
          <w:sz w:val="24"/>
        </w:rPr>
        <w:t>有限公司，部分内容涉及</w:t>
      </w:r>
      <w:r>
        <w:rPr>
          <w:rFonts w:hint="eastAsia" w:asciiTheme="majorEastAsia" w:hAnsiTheme="majorEastAsia" w:eastAsiaTheme="majorEastAsia"/>
          <w:sz w:val="24"/>
          <w:lang w:val="en-US" w:eastAsia="zh-CN"/>
        </w:rPr>
        <w:t>江苏东尖纺织科技实业有限公司</w:t>
      </w:r>
    </w:p>
    <w:p>
      <w:pPr>
        <w:spacing w:line="360" w:lineRule="auto"/>
        <w:ind w:firstLine="480" w:firstLineChars="200"/>
        <w:rPr>
          <w:rFonts w:asciiTheme="majorEastAsia" w:hAnsiTheme="majorEastAsia" w:eastAsiaTheme="majorEastAsia"/>
          <w:sz w:val="24"/>
        </w:rPr>
        <w:sectPr>
          <w:type w:val="continuous"/>
          <w:pgSz w:w="11906" w:h="16838"/>
          <w:pgMar w:top="1440" w:right="1800" w:bottom="1440" w:left="1800" w:header="851" w:footer="992" w:gutter="0"/>
          <w:cols w:space="425" w:num="2"/>
          <w:docGrid w:type="lines" w:linePitch="312" w:charSpace="0"/>
        </w:sectPr>
      </w:pPr>
    </w:p>
    <w:p>
      <w:pPr>
        <w:spacing w:line="360" w:lineRule="auto"/>
        <w:ind w:firstLine="480" w:firstLineChars="200"/>
        <w:rPr>
          <w:rFonts w:asciiTheme="majorEastAsia" w:hAnsiTheme="majorEastAsia" w:eastAsiaTheme="majorEastAsia"/>
          <w:sz w:val="24"/>
        </w:rPr>
      </w:pPr>
    </w:p>
    <w:p>
      <w:pPr>
        <w:spacing w:line="360" w:lineRule="auto"/>
        <w:jc w:val="center"/>
        <w:rPr>
          <w:rFonts w:asciiTheme="majorEastAsia" w:hAnsiTheme="majorEastAsia" w:eastAsiaTheme="majorEastAsia"/>
          <w:sz w:val="32"/>
        </w:rPr>
      </w:pPr>
    </w:p>
    <w:p>
      <w:pPr>
        <w:spacing w:line="360" w:lineRule="auto"/>
        <w:ind w:firstLine="2240" w:firstLineChars="700"/>
        <w:jc w:val="left"/>
        <w:rPr>
          <w:rFonts w:asciiTheme="majorEastAsia" w:hAnsiTheme="majorEastAsia" w:eastAsiaTheme="majorEastAsia"/>
          <w:sz w:val="32"/>
        </w:rPr>
      </w:pPr>
      <w:r>
        <w:rPr>
          <w:rFonts w:hint="eastAsia" w:asciiTheme="majorEastAsia" w:hAnsiTheme="majorEastAsia" w:eastAsiaTheme="majorEastAsia"/>
          <w:sz w:val="32"/>
        </w:rPr>
        <w:t>编制单位：</w:t>
      </w:r>
      <w:r>
        <w:rPr>
          <w:rFonts w:hint="eastAsia" w:asciiTheme="majorEastAsia" w:hAnsiTheme="majorEastAsia" w:eastAsiaTheme="majorEastAsia"/>
          <w:sz w:val="32"/>
          <w:lang w:val="en-US" w:eastAsia="zh-CN"/>
        </w:rPr>
        <w:t>江苏东渡纺织集团</w:t>
      </w:r>
      <w:r>
        <w:rPr>
          <w:rFonts w:hint="eastAsia" w:asciiTheme="majorEastAsia" w:hAnsiTheme="majorEastAsia" w:eastAsiaTheme="majorEastAsia"/>
          <w:sz w:val="32"/>
        </w:rPr>
        <w:t>有限公司</w:t>
      </w:r>
    </w:p>
    <w:p>
      <w:pPr>
        <w:spacing w:line="360" w:lineRule="auto"/>
        <w:ind w:firstLine="2240" w:firstLineChars="700"/>
        <w:jc w:val="left"/>
        <w:rPr>
          <w:rFonts w:asciiTheme="majorEastAsia" w:hAnsiTheme="majorEastAsia" w:eastAsiaTheme="majorEastAsia"/>
          <w:sz w:val="32"/>
        </w:rPr>
        <w:sectPr>
          <w:type w:val="continuous"/>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sz w:val="32"/>
        </w:rPr>
        <w:t>编制日期：20</w:t>
      </w:r>
      <w:r>
        <w:rPr>
          <w:rFonts w:hint="eastAsia" w:asciiTheme="majorEastAsia" w:hAnsiTheme="majorEastAsia" w:eastAsiaTheme="majorEastAsia"/>
          <w:sz w:val="32"/>
          <w:lang w:val="en-US" w:eastAsia="zh-CN"/>
        </w:rPr>
        <w:t>20</w:t>
      </w:r>
      <w:r>
        <w:rPr>
          <w:rFonts w:hint="eastAsia" w:asciiTheme="majorEastAsia" w:hAnsiTheme="majorEastAsia" w:eastAsiaTheme="majorEastAsia"/>
          <w:sz w:val="32"/>
        </w:rPr>
        <w:t>年3月</w:t>
      </w:r>
    </w:p>
    <w:p>
      <w:pPr>
        <w:spacing w:line="720" w:lineRule="auto"/>
        <w:jc w:val="center"/>
        <w:rPr>
          <w:rFonts w:ascii="黑体" w:hAnsi="黑体" w:eastAsia="黑体"/>
          <w:sz w:val="48"/>
          <w:szCs w:val="28"/>
        </w:rPr>
      </w:pPr>
      <w:r>
        <w:rPr>
          <w:rFonts w:hint="eastAsia" w:ascii="黑体" w:hAnsi="黑体" w:eastAsia="黑体"/>
          <w:sz w:val="48"/>
          <w:szCs w:val="28"/>
        </w:rPr>
        <w:t>目  录</w:t>
      </w:r>
    </w:p>
    <w:p>
      <w:pPr>
        <w:spacing w:line="720" w:lineRule="auto"/>
        <w:rPr>
          <w:rFonts w:asciiTheme="minorEastAsia" w:hAnsiTheme="minorEastAsia"/>
          <w:sz w:val="36"/>
          <w:szCs w:val="28"/>
        </w:rPr>
      </w:pPr>
      <w:r>
        <w:rPr>
          <w:rFonts w:hint="eastAsia" w:asciiTheme="minorEastAsia" w:hAnsiTheme="minorEastAsia"/>
          <w:sz w:val="36"/>
          <w:szCs w:val="28"/>
        </w:rPr>
        <w:t>01  公司简介</w:t>
      </w:r>
    </w:p>
    <w:p>
      <w:pPr>
        <w:spacing w:line="720" w:lineRule="auto"/>
        <w:rPr>
          <w:rFonts w:asciiTheme="minorEastAsia" w:hAnsiTheme="minorEastAsia"/>
          <w:sz w:val="36"/>
          <w:szCs w:val="28"/>
        </w:rPr>
      </w:pPr>
      <w:r>
        <w:rPr>
          <w:rFonts w:hint="eastAsia" w:asciiTheme="minorEastAsia" w:hAnsiTheme="minorEastAsia"/>
          <w:sz w:val="36"/>
          <w:szCs w:val="28"/>
        </w:rPr>
        <w:t>02  企业文化</w:t>
      </w:r>
    </w:p>
    <w:p>
      <w:pPr>
        <w:spacing w:line="720" w:lineRule="auto"/>
        <w:rPr>
          <w:rFonts w:asciiTheme="minorEastAsia" w:hAnsiTheme="minorEastAsia"/>
          <w:sz w:val="36"/>
          <w:szCs w:val="28"/>
        </w:rPr>
      </w:pPr>
      <w:r>
        <w:rPr>
          <w:rFonts w:hint="eastAsia" w:asciiTheme="minorEastAsia" w:hAnsiTheme="minorEastAsia"/>
          <w:sz w:val="36"/>
          <w:szCs w:val="28"/>
        </w:rPr>
        <w:t>03  发展战略</w:t>
      </w:r>
    </w:p>
    <w:p>
      <w:pPr>
        <w:spacing w:line="720" w:lineRule="auto"/>
        <w:rPr>
          <w:rFonts w:asciiTheme="minorEastAsia" w:hAnsiTheme="minorEastAsia"/>
          <w:sz w:val="22"/>
          <w:szCs w:val="28"/>
        </w:rPr>
      </w:pPr>
      <w:r>
        <w:rPr>
          <w:rFonts w:hint="eastAsia" w:asciiTheme="minorEastAsia" w:hAnsiTheme="minorEastAsia"/>
          <w:sz w:val="36"/>
          <w:szCs w:val="28"/>
        </w:rPr>
        <w:t>03  责任</w:t>
      </w:r>
      <w:r>
        <w:rPr>
          <w:rFonts w:hint="eastAsia" w:asciiTheme="minorEastAsia" w:hAnsiTheme="minorEastAsia"/>
          <w:sz w:val="36"/>
          <w:szCs w:val="28"/>
          <w:lang w:val="en-US" w:eastAsia="zh-CN"/>
        </w:rPr>
        <w:t>东渡</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Theme="minorEastAsia" w:hAnsiTheme="minorEastAsia"/>
          <w:sz w:val="22"/>
          <w:szCs w:val="28"/>
        </w:rPr>
      </w:pPr>
      <w:r>
        <w:drawing>
          <wp:inline distT="0" distB="0" distL="0" distR="0">
            <wp:extent cx="5274310" cy="3076575"/>
            <wp:effectExtent l="0" t="0" r="0" b="95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spacing w:line="520" w:lineRule="exact"/>
        <w:rPr>
          <w:rFonts w:asciiTheme="minorEastAsia" w:hAnsiTheme="minorEastAsia"/>
          <w:sz w:val="22"/>
          <w:szCs w:val="28"/>
        </w:rPr>
      </w:pPr>
    </w:p>
    <w:p>
      <w:pPr>
        <w:spacing w:line="720" w:lineRule="auto"/>
        <w:rPr>
          <w:rFonts w:hint="eastAsia" w:asciiTheme="minorEastAsia" w:hAnsiTheme="minorEastAsia"/>
          <w:sz w:val="36"/>
          <w:szCs w:val="28"/>
        </w:rPr>
      </w:pPr>
    </w:p>
    <w:p>
      <w:pPr>
        <w:spacing w:line="720" w:lineRule="auto"/>
        <w:rPr>
          <w:rFonts w:hint="eastAsia" w:asciiTheme="minorEastAsia" w:hAnsiTheme="minorEastAsia" w:eastAsiaTheme="minorEastAsia"/>
          <w:sz w:val="36"/>
          <w:szCs w:val="28"/>
          <w:lang w:val="en-US" w:eastAsia="zh-CN"/>
        </w:rPr>
      </w:pPr>
      <w:r>
        <w:rPr>
          <w:rFonts w:hint="eastAsia" w:asciiTheme="minorEastAsia" w:hAnsiTheme="minorEastAsia"/>
          <w:sz w:val="36"/>
          <w:szCs w:val="28"/>
        </w:rPr>
        <w:t>13  展望20</w:t>
      </w:r>
      <w:r>
        <w:rPr>
          <w:rFonts w:hint="eastAsia" w:asciiTheme="minorEastAsia" w:hAnsiTheme="minorEastAsia"/>
          <w:sz w:val="36"/>
          <w:szCs w:val="28"/>
          <w:lang w:val="en-US" w:eastAsia="zh-CN"/>
        </w:rPr>
        <w:t>20</w:t>
      </w:r>
    </w:p>
    <w:p>
      <w:pPr>
        <w:spacing w:line="520" w:lineRule="exact"/>
        <w:rPr>
          <w:rFonts w:asciiTheme="minorEastAsia" w:hAnsiTheme="minorEastAsia"/>
          <w:sz w:val="28"/>
          <w:szCs w:val="28"/>
        </w:rPr>
        <w:sectPr>
          <w:footerReference r:id="rId4" w:type="default"/>
          <w:pgSz w:w="11906" w:h="16838"/>
          <w:pgMar w:top="1440" w:right="1800" w:bottom="1440" w:left="1800" w:header="851" w:footer="992" w:gutter="0"/>
          <w:pgNumType w:start="1"/>
          <w:cols w:space="425" w:num="1"/>
          <w:docGrid w:type="lines" w:linePitch="312" w:charSpace="0"/>
        </w:sectPr>
      </w:pPr>
    </w:p>
    <w:p>
      <w:pPr>
        <w:spacing w:line="520" w:lineRule="exact"/>
        <w:rPr>
          <w:rFonts w:asciiTheme="minorEastAsia" w:hAnsiTheme="minorEastAsia"/>
          <w:sz w:val="28"/>
          <w:szCs w:val="28"/>
        </w:rPr>
      </w:pPr>
      <w:r>
        <w:rPr>
          <w:rFonts w:hint="eastAsia" w:asciiTheme="minorEastAsia" w:hAnsiTheme="minorEastAsia"/>
          <w:sz w:val="28"/>
          <w:szCs w:val="28"/>
        </w:rPr>
        <w:t>一、公司简介</w:t>
      </w:r>
    </w:p>
    <w:p>
      <w:pPr>
        <w:ind w:firstLine="600" w:firstLineChars="200"/>
        <w:rPr>
          <w:rFonts w:ascii="仿宋_GB2312" w:eastAsia="仿宋_GB2312"/>
          <w:sz w:val="30"/>
          <w:szCs w:val="30"/>
        </w:rPr>
      </w:pPr>
      <w:r>
        <w:rPr>
          <w:rFonts w:hint="eastAsia" w:ascii="仿宋_GB2312" w:eastAsia="仿宋_GB2312"/>
          <w:sz w:val="30"/>
          <w:szCs w:val="30"/>
        </w:rPr>
        <w:t>江苏东渡纺织集团创建于1956年，1999年转制为新型的股份制企业。经过60多年的积累和努力，已经发展成为以研发、品牌、生产、物流为主体，面料、服装及相关配套为主线，集织造、染色、绣花、印花、成衣一条龙服务，科、工、贸为一体的大型纺织企业。集团公司分别在新加坡、香港、加拿大设有分公司和办事处，在柬埔寨</w:t>
      </w:r>
      <w:r>
        <w:rPr>
          <w:rFonts w:hint="eastAsia" w:ascii="仿宋_GB2312" w:eastAsia="仿宋_GB2312"/>
          <w:sz w:val="30"/>
          <w:szCs w:val="30"/>
          <w:lang w:eastAsia="zh-CN"/>
        </w:rPr>
        <w:t>、</w:t>
      </w:r>
      <w:r>
        <w:rPr>
          <w:rFonts w:hint="eastAsia" w:ascii="仿宋_GB2312" w:eastAsia="仿宋_GB2312"/>
          <w:sz w:val="30"/>
          <w:szCs w:val="30"/>
          <w:lang w:val="en-US" w:eastAsia="zh-CN"/>
        </w:rPr>
        <w:t>越南、</w:t>
      </w:r>
      <w:r>
        <w:rPr>
          <w:rFonts w:hint="eastAsia" w:ascii="仿宋_GB2312" w:eastAsia="仿宋_GB2312"/>
          <w:sz w:val="30"/>
          <w:szCs w:val="30"/>
        </w:rPr>
        <w:t>马来西亚</w:t>
      </w:r>
      <w:r>
        <w:rPr>
          <w:rFonts w:hint="eastAsia" w:ascii="仿宋_GB2312" w:eastAsia="仿宋_GB2312"/>
          <w:sz w:val="30"/>
          <w:szCs w:val="30"/>
          <w:lang w:val="en-US" w:eastAsia="zh-CN"/>
        </w:rPr>
        <w:t>建纺织服装</w:t>
      </w:r>
      <w:r>
        <w:rPr>
          <w:rFonts w:hint="eastAsia" w:ascii="仿宋_GB2312" w:eastAsia="仿宋_GB2312"/>
          <w:sz w:val="30"/>
          <w:szCs w:val="30"/>
        </w:rPr>
        <w:t>生产</w:t>
      </w:r>
      <w:r>
        <w:rPr>
          <w:rFonts w:hint="eastAsia" w:ascii="仿宋_GB2312" w:eastAsia="仿宋_GB2312"/>
          <w:sz w:val="30"/>
          <w:szCs w:val="30"/>
          <w:lang w:val="en-US" w:eastAsia="zh-CN"/>
        </w:rPr>
        <w:t>工</w:t>
      </w:r>
      <w:r>
        <w:rPr>
          <w:rFonts w:hint="eastAsia" w:ascii="仿宋_GB2312" w:eastAsia="仿宋_GB2312"/>
          <w:sz w:val="30"/>
          <w:szCs w:val="30"/>
        </w:rPr>
        <w:t>厂。</w:t>
      </w:r>
    </w:p>
    <w:p>
      <w:pPr>
        <w:ind w:firstLine="600" w:firstLineChars="200"/>
        <w:rPr>
          <w:rFonts w:ascii="仿宋_GB2312" w:eastAsia="仿宋_GB2312"/>
          <w:sz w:val="30"/>
          <w:szCs w:val="30"/>
        </w:rPr>
      </w:pPr>
      <w:r>
        <w:rPr>
          <w:rFonts w:hint="eastAsia" w:ascii="仿宋_GB2312" w:eastAsia="仿宋_GB2312"/>
          <w:sz w:val="30"/>
          <w:szCs w:val="30"/>
        </w:rPr>
        <w:t>公司拥有国际先进的织造、染整、检测设备；智慧型服装挂装流水线、自动服装后整包装流水线；各类进口电脑绣花、印花设备。产品95%出口日、美、澳、英、法等12个国家和地区。自主品牌“伊思贝得”获中国驰名商标、国家免检产品、中国绿色纤维产品、江苏著名商标、江苏省名牌产品、江苏出口名牌等荣誉称号。</w:t>
      </w:r>
    </w:p>
    <w:p>
      <w:pPr>
        <w:ind w:firstLine="600" w:firstLineChars="200"/>
        <w:rPr>
          <w:rFonts w:ascii="仿宋_GB2312" w:eastAsia="仿宋_GB2312"/>
          <w:sz w:val="30"/>
          <w:szCs w:val="30"/>
        </w:rPr>
      </w:pPr>
      <w:r>
        <w:rPr>
          <w:rFonts w:hint="eastAsia" w:ascii="仿宋_GB2312" w:eastAsia="仿宋_GB2312"/>
          <w:sz w:val="30"/>
          <w:szCs w:val="30"/>
        </w:rPr>
        <w:t>公司已通过ISO9001：2000质量管理体系认证，ISO14001：2000环境管理体系认证，OHSAS18000职业健康安全管理体系认证，</w:t>
      </w:r>
      <w:r>
        <w:rPr>
          <w:rFonts w:hint="eastAsia" w:ascii="仿宋_GB2312" w:eastAsia="仿宋_GB2312"/>
          <w:color w:val="0000FF"/>
          <w:sz w:val="30"/>
          <w:szCs w:val="30"/>
          <w:lang w:val="en-US" w:eastAsia="zh-CN"/>
        </w:rPr>
        <w:t>能源管理体系认证，</w:t>
      </w:r>
      <w:r>
        <w:rPr>
          <w:rFonts w:hint="eastAsia" w:ascii="仿宋_GB2312" w:eastAsia="仿宋_GB2312"/>
          <w:sz w:val="30"/>
          <w:szCs w:val="30"/>
        </w:rPr>
        <w:t>欧美多家公司社会责任管理体系认证。公司连续十五年被评为中国纺织全行业百强企业，出口五十强企业，针织行业综合竞争力前10名。2018年，第四次入围“中国民营企业制造业500强”，位居393位。荣获“中国工业企业质量标杆”、“国家级两化融合贯标试点企业”、“纺织行业智能制造试点示范企业”</w:t>
      </w:r>
      <w:r>
        <w:rPr>
          <w:rFonts w:hint="eastAsia" w:ascii="仿宋_GB2312" w:eastAsia="仿宋_GB2312"/>
          <w:sz w:val="30"/>
          <w:szCs w:val="30"/>
          <w:lang w:eastAsia="zh-CN"/>
        </w:rPr>
        <w:t>、</w:t>
      </w:r>
      <w:r>
        <w:rPr>
          <w:rFonts w:hint="eastAsia" w:ascii="仿宋_GB2312" w:eastAsia="仿宋_GB2312"/>
          <w:sz w:val="30"/>
          <w:szCs w:val="30"/>
        </w:rPr>
        <w:t>“中国质量诚信企业”、“全国纺织行业质量奖”、“全国纺织行业管理创新成果大奖”</w:t>
      </w:r>
      <w:r>
        <w:rPr>
          <w:rFonts w:hint="eastAsia" w:ascii="仿宋_GB2312" w:eastAsia="仿宋_GB2312"/>
          <w:sz w:val="30"/>
          <w:szCs w:val="30"/>
          <w:lang w:eastAsia="zh-CN"/>
        </w:rPr>
        <w:t>、</w:t>
      </w:r>
      <w:r>
        <w:rPr>
          <w:rFonts w:hint="eastAsia" w:ascii="仿宋_GB2312" w:eastAsia="仿宋_GB2312"/>
          <w:color w:val="auto"/>
          <w:sz w:val="30"/>
          <w:szCs w:val="30"/>
          <w:lang w:eastAsia="zh-CN"/>
        </w:rPr>
        <w:t>“</w:t>
      </w:r>
      <w:r>
        <w:rPr>
          <w:rFonts w:hint="eastAsia" w:ascii="仿宋_GB2312" w:eastAsia="仿宋_GB2312"/>
          <w:color w:val="auto"/>
          <w:sz w:val="30"/>
          <w:szCs w:val="30"/>
          <w:lang w:val="en-US" w:eastAsia="zh-CN"/>
        </w:rPr>
        <w:t>绿色发展领跑者企业”、“纺织行业水效领跑者企业”、“江苏省节水型企业”、“江苏省清洁生产企业”、</w:t>
      </w:r>
      <w:r>
        <w:rPr>
          <w:rFonts w:hint="eastAsia" w:ascii="仿宋_GB2312" w:eastAsia="仿宋_GB2312"/>
          <w:sz w:val="30"/>
          <w:szCs w:val="30"/>
          <w:lang w:eastAsia="zh-CN"/>
        </w:rPr>
        <w:t>“</w:t>
      </w:r>
      <w:r>
        <w:rPr>
          <w:rFonts w:hint="eastAsia" w:ascii="仿宋_GB2312" w:eastAsia="仿宋_GB2312"/>
          <w:sz w:val="30"/>
          <w:szCs w:val="30"/>
          <w:lang w:val="en-US" w:eastAsia="zh-CN"/>
        </w:rPr>
        <w:t>江苏省工业互联网标杆工厂”</w:t>
      </w:r>
      <w:r>
        <w:rPr>
          <w:rFonts w:hint="eastAsia" w:ascii="仿宋_GB2312" w:eastAsia="仿宋_GB2312"/>
          <w:sz w:val="30"/>
          <w:szCs w:val="30"/>
        </w:rPr>
        <w:t>等荣誉称号。</w:t>
      </w:r>
    </w:p>
    <w:p>
      <w:pPr>
        <w:spacing w:line="520" w:lineRule="exact"/>
        <w:ind w:firstLine="560"/>
        <w:rPr>
          <w:rFonts w:ascii="方正仿宋_GBK" w:hAnsi="宋体" w:eastAsia="方正仿宋_GBK" w:cs="宋体"/>
          <w:kern w:val="0"/>
          <w:sz w:val="28"/>
          <w:szCs w:val="28"/>
        </w:rPr>
      </w:pPr>
      <w:r>
        <w:rPr>
          <w:rFonts w:hint="eastAsia" w:ascii="仿宋_GB2312" w:eastAsia="仿宋_GB2312"/>
          <w:sz w:val="30"/>
          <w:szCs w:val="30"/>
          <w:lang w:val="en-US" w:eastAsia="zh-CN"/>
        </w:rPr>
        <w:t>作为全球化运营的中国民营企业，公司正努力向着“2018年十亿美金销售收入”的目标全力迈进，并期望届时能成功进入全球电动工具企业前五名的行列。我们立志通过自己的努力，提高自主创新能力，实现纺织服装的“中国制造”向“中国创造”迈进，这是东渡的发展愿景，更是作为江苏省民营科技企业不容推卸的责任。</w:t>
      </w:r>
    </w:p>
    <w:p>
      <w:pPr>
        <w:spacing w:line="520" w:lineRule="exact"/>
        <w:ind w:firstLine="560"/>
        <w:rPr>
          <w:rFonts w:asciiTheme="minorEastAsia" w:hAnsiTheme="minorEastAsia"/>
          <w:sz w:val="28"/>
          <w:szCs w:val="28"/>
        </w:rPr>
      </w:pPr>
    </w:p>
    <w:p>
      <w:pPr>
        <w:spacing w:line="520" w:lineRule="exact"/>
        <w:rPr>
          <w:rFonts w:asciiTheme="minorEastAsia" w:hAnsiTheme="minorEastAsia"/>
          <w:sz w:val="28"/>
          <w:szCs w:val="28"/>
        </w:rPr>
      </w:pPr>
      <w:r>
        <w:rPr>
          <w:rFonts w:hint="eastAsia" w:asciiTheme="minorEastAsia" w:hAnsiTheme="minorEastAsia"/>
          <w:sz w:val="28"/>
          <w:szCs w:val="28"/>
        </w:rPr>
        <w:t>二、企业文化</w:t>
      </w:r>
    </w:p>
    <w:p>
      <w:pPr>
        <w:pStyle w:val="6"/>
        <w:numPr>
          <w:ilvl w:val="0"/>
          <w:numId w:val="0"/>
        </w:numPr>
        <w:spacing w:line="440" w:lineRule="exact"/>
        <w:ind w:firstLine="600" w:firstLineChars="200"/>
        <w:rPr>
          <w:rFonts w:hint="eastAsia"/>
          <w:b/>
          <w:sz w:val="28"/>
          <w:szCs w:val="28"/>
        </w:rPr>
      </w:pPr>
      <w:r>
        <w:rPr>
          <w:rFonts w:hint="eastAsia" w:ascii="仿宋_GB2312" w:eastAsia="仿宋_GB2312" w:hAnsiTheme="minorHAnsi" w:cstheme="minorBidi"/>
          <w:kern w:val="2"/>
          <w:sz w:val="30"/>
          <w:szCs w:val="30"/>
          <w:lang w:val="en-US" w:eastAsia="zh-CN" w:bidi="ar-SA"/>
        </w:rPr>
        <w:t>公司一直坚持以人为本的理念，使员工的个人价值观和企业价值观得到统一，秉承着“团结、忠诚、创新、务实”的企业精神，逐步在激烈的市场竞争中脱颖而出。这不仅是东渡立业之基，更是未来不懈追求的坚定信念。我们立志通过自己的努力，为提升全球范围内“中国制造”的形象做出贡献，并赢得世界的尊重。</w:t>
      </w:r>
    </w:p>
    <w:p>
      <w:pPr>
        <w:pStyle w:val="6"/>
        <w:numPr>
          <w:ilvl w:val="0"/>
          <w:numId w:val="0"/>
        </w:numPr>
        <w:spacing w:line="440" w:lineRule="exact"/>
        <w:ind w:left="413" w:leftChars="0"/>
        <w:rPr>
          <w:rFonts w:hint="eastAsia"/>
          <w:b/>
          <w:bCs w:val="0"/>
          <w:sz w:val="28"/>
          <w:szCs w:val="24"/>
        </w:rPr>
      </w:pPr>
      <w:r>
        <w:rPr>
          <w:rFonts w:hint="eastAsia"/>
          <w:b/>
          <w:sz w:val="28"/>
          <w:szCs w:val="28"/>
        </w:rPr>
        <w:t>企业精神</w:t>
      </w:r>
      <w:r>
        <w:rPr>
          <w:rFonts w:hint="eastAsia"/>
          <w:b/>
          <w:sz w:val="28"/>
          <w:szCs w:val="28"/>
          <w:lang w:eastAsia="zh-CN"/>
        </w:rPr>
        <w:t>：</w:t>
      </w:r>
      <w:r>
        <w:rPr>
          <w:rFonts w:hint="eastAsia"/>
          <w:sz w:val="28"/>
          <w:szCs w:val="24"/>
        </w:rPr>
        <w:t xml:space="preserve"> </w:t>
      </w:r>
      <w:r>
        <w:rPr>
          <w:rFonts w:hint="eastAsia"/>
          <w:b/>
          <w:bCs w:val="0"/>
          <w:sz w:val="28"/>
          <w:szCs w:val="24"/>
        </w:rPr>
        <w:t>团结　忠诚　创新　务实</w:t>
      </w:r>
    </w:p>
    <w:p>
      <w:pPr>
        <w:spacing w:before="100" w:beforeAutospacing="1" w:after="100" w:afterAutospacing="1" w:line="500" w:lineRule="exact"/>
        <w:ind w:left="720" w:right="720"/>
        <w:rPr>
          <w:sz w:val="28"/>
          <w:szCs w:val="28"/>
        </w:rPr>
      </w:pPr>
      <w:r>
        <w:rPr>
          <w:rFonts w:hint="eastAsia"/>
          <w:b/>
          <w:bCs/>
          <w:sz w:val="28"/>
          <w:szCs w:val="28"/>
        </w:rPr>
        <w:t>团结</w:t>
      </w:r>
      <w:r>
        <w:rPr>
          <w:rFonts w:hint="eastAsia"/>
          <w:sz w:val="28"/>
          <w:szCs w:val="28"/>
        </w:rPr>
        <w:t>――拧成一股绳，心往一处想、劲往一处使，大事讲原则、小事讲风格，顾全大局、荣辱与共、和睦相处。始终保持振奋的精神状态，饱满的工作热情。</w:t>
      </w:r>
    </w:p>
    <w:p>
      <w:pPr>
        <w:pStyle w:val="4"/>
        <w:spacing w:line="500" w:lineRule="exact"/>
        <w:rPr>
          <w:sz w:val="28"/>
          <w:szCs w:val="28"/>
        </w:rPr>
      </w:pPr>
      <w:r>
        <w:rPr>
          <w:rFonts w:hint="eastAsia"/>
          <w:b/>
          <w:bCs/>
          <w:sz w:val="28"/>
          <w:szCs w:val="28"/>
        </w:rPr>
        <w:t>忠诚</w:t>
      </w:r>
      <w:r>
        <w:rPr>
          <w:rFonts w:hint="eastAsia"/>
          <w:sz w:val="28"/>
          <w:szCs w:val="28"/>
        </w:rPr>
        <w:t>――忠诚事业，爱厂爱岗，对待工作尽心尽责、事事到位，具备良好的职业道德；做人处事有徳有礼，表里如一，相互尊重，创造和谐。</w:t>
      </w:r>
    </w:p>
    <w:p>
      <w:pPr>
        <w:spacing w:line="500" w:lineRule="exact"/>
        <w:ind w:left="714" w:leftChars="340" w:firstLine="3" w:firstLineChars="1"/>
        <w:rPr>
          <w:sz w:val="28"/>
          <w:szCs w:val="28"/>
        </w:rPr>
      </w:pPr>
      <w:r>
        <w:rPr>
          <w:b/>
          <w:bCs/>
          <w:sz w:val="28"/>
          <w:szCs w:val="28"/>
        </w:rPr>
        <w:t>创新</w:t>
      </w:r>
      <w:r>
        <w:rPr>
          <w:sz w:val="28"/>
          <w:szCs w:val="28"/>
        </w:rPr>
        <w:t>——</w:t>
      </w:r>
      <w:r>
        <w:rPr>
          <w:rFonts w:hint="eastAsia"/>
          <w:sz w:val="28"/>
          <w:szCs w:val="28"/>
        </w:rPr>
        <w:t>不断研究新情况，解决新问题，</w:t>
      </w:r>
      <w:r>
        <w:rPr>
          <w:sz w:val="28"/>
          <w:szCs w:val="28"/>
        </w:rPr>
        <w:t>精心研</w:t>
      </w:r>
      <w:r>
        <w:rPr>
          <w:rFonts w:hint="eastAsia"/>
          <w:sz w:val="28"/>
          <w:szCs w:val="28"/>
        </w:rPr>
        <w:t>究</w:t>
      </w:r>
      <w:r>
        <w:rPr>
          <w:sz w:val="28"/>
          <w:szCs w:val="28"/>
        </w:rPr>
        <w:t>新技术</w:t>
      </w:r>
      <w:r>
        <w:rPr>
          <w:rFonts w:hint="eastAsia"/>
          <w:sz w:val="28"/>
          <w:szCs w:val="28"/>
        </w:rPr>
        <w:t>、推广</w:t>
      </w:r>
      <w:r>
        <w:rPr>
          <w:sz w:val="28"/>
          <w:szCs w:val="28"/>
        </w:rPr>
        <w:t>新工艺，开发新</w:t>
      </w:r>
      <w:r>
        <w:rPr>
          <w:rFonts w:hint="eastAsia"/>
          <w:sz w:val="28"/>
          <w:szCs w:val="28"/>
        </w:rPr>
        <w:t>产品，开辟新境界，创造新业绩，紧跟形势，勇于开拓，知难而进，始终站在发展的最前列</w:t>
      </w:r>
      <w:r>
        <w:rPr>
          <w:sz w:val="28"/>
          <w:szCs w:val="28"/>
        </w:rPr>
        <w:t>。</w:t>
      </w:r>
    </w:p>
    <w:p>
      <w:pPr>
        <w:spacing w:line="500" w:lineRule="exact"/>
        <w:ind w:left="714" w:leftChars="340" w:firstLine="2" w:firstLineChars="1"/>
        <w:rPr>
          <w:rFonts w:ascii="方正仿宋_GBK" w:eastAsia="方正仿宋_GBK"/>
          <w:sz w:val="28"/>
          <w:szCs w:val="28"/>
        </w:rPr>
      </w:pPr>
      <w:r>
        <w:rPr>
          <w:sz w:val="28"/>
          <w:szCs w:val="28"/>
        </w:rPr>
        <w:br w:type="textWrapping"/>
      </w:r>
      <w:r>
        <w:rPr>
          <w:b/>
          <w:bCs/>
          <w:sz w:val="28"/>
          <w:szCs w:val="28"/>
        </w:rPr>
        <w:t>务实</w:t>
      </w:r>
      <w:r>
        <w:rPr>
          <w:sz w:val="28"/>
          <w:szCs w:val="28"/>
        </w:rPr>
        <w:t>——</w:t>
      </w:r>
      <w:r>
        <w:rPr>
          <w:rFonts w:hint="eastAsia"/>
          <w:sz w:val="28"/>
          <w:szCs w:val="28"/>
        </w:rPr>
        <w:t>做任何一项工作，都扎扎实实、实事求是，说实话、办实事、求实效，艰苦奋斗，励精图治，有强烈的事业心，高度的责任感，勤政廉洁、兢兢业业。</w:t>
      </w:r>
    </w:p>
    <w:p>
      <w:pPr>
        <w:pStyle w:val="6"/>
        <w:spacing w:line="440" w:lineRule="exact"/>
        <w:rPr>
          <w:rFonts w:hint="eastAsia"/>
          <w:b/>
          <w:sz w:val="24"/>
          <w:szCs w:val="24"/>
        </w:rPr>
      </w:pPr>
    </w:p>
    <w:p>
      <w:pPr>
        <w:pStyle w:val="6"/>
        <w:numPr>
          <w:ilvl w:val="0"/>
          <w:numId w:val="0"/>
        </w:numPr>
        <w:spacing w:line="440" w:lineRule="exact"/>
        <w:ind w:left="413" w:leftChars="0"/>
        <w:rPr>
          <w:rFonts w:hint="eastAsia"/>
          <w:b/>
          <w:sz w:val="28"/>
          <w:szCs w:val="28"/>
        </w:rPr>
      </w:pPr>
      <w:r>
        <w:rPr>
          <w:rFonts w:hint="eastAsia"/>
          <w:b/>
          <w:sz w:val="28"/>
          <w:szCs w:val="28"/>
        </w:rPr>
        <w:t>企业方针是：“诚信为本、顾客至上、求实创新、持续改进”</w:t>
      </w:r>
    </w:p>
    <w:p>
      <w:pPr>
        <w:pStyle w:val="13"/>
        <w:spacing w:line="500" w:lineRule="exact"/>
        <w:ind w:left="720" w:right="720"/>
        <w:rPr>
          <w:sz w:val="28"/>
          <w:szCs w:val="28"/>
        </w:rPr>
      </w:pPr>
      <w:r>
        <w:rPr>
          <w:rFonts w:hint="eastAsia"/>
          <w:b/>
          <w:bCs/>
          <w:sz w:val="28"/>
          <w:szCs w:val="28"/>
        </w:rPr>
        <w:t>诚信为本</w:t>
      </w:r>
      <w:r>
        <w:rPr>
          <w:rFonts w:hint="eastAsia"/>
          <w:sz w:val="28"/>
          <w:szCs w:val="28"/>
        </w:rPr>
        <w:t>――开展诚信道德教育、增强全员诚信意识、培育企业诚信品牌、实现人际关系诚信交往、产品生产的诚信质量、市场流通的诚信贸易、资金往来的诚信践诺、环保国策的诚信实施。</w:t>
      </w:r>
    </w:p>
    <w:p>
      <w:pPr>
        <w:pStyle w:val="13"/>
        <w:spacing w:line="500" w:lineRule="exact"/>
        <w:ind w:left="720" w:right="720"/>
        <w:rPr>
          <w:sz w:val="28"/>
          <w:szCs w:val="28"/>
        </w:rPr>
      </w:pPr>
      <w:r>
        <w:rPr>
          <w:rFonts w:hint="eastAsia"/>
          <w:b/>
          <w:bCs/>
          <w:sz w:val="28"/>
          <w:szCs w:val="28"/>
        </w:rPr>
        <w:t>顾客</w:t>
      </w:r>
      <w:r>
        <w:rPr>
          <w:b/>
          <w:bCs/>
          <w:sz w:val="28"/>
          <w:szCs w:val="28"/>
        </w:rPr>
        <w:t>至上</w:t>
      </w:r>
      <w:r>
        <w:rPr>
          <w:rFonts w:hint="eastAsia"/>
          <w:sz w:val="28"/>
          <w:szCs w:val="28"/>
        </w:rPr>
        <w:t>――</w:t>
      </w:r>
      <w:r>
        <w:rPr>
          <w:sz w:val="28"/>
          <w:szCs w:val="28"/>
        </w:rPr>
        <w:t xml:space="preserve"> 树立客户就是上帝的思想，一切从满足客户需要出发，保证客户满意是我们思想和行为的准则。</w:t>
      </w:r>
      <w:r>
        <w:rPr>
          <w:rFonts w:hint="eastAsia"/>
          <w:b/>
          <w:bCs/>
          <w:sz w:val="28"/>
          <w:szCs w:val="28"/>
        </w:rPr>
        <w:t>求实创新</w:t>
      </w:r>
      <w:r>
        <w:rPr>
          <w:rFonts w:hint="eastAsia"/>
          <w:sz w:val="28"/>
          <w:szCs w:val="28"/>
        </w:rPr>
        <w:t>――踏实认真，以人为本，</w:t>
      </w:r>
      <w:r>
        <w:rPr>
          <w:sz w:val="28"/>
          <w:szCs w:val="28"/>
        </w:rPr>
        <w:t>不断改良、创新、提高</w:t>
      </w:r>
      <w:r>
        <w:rPr>
          <w:rFonts w:hint="eastAsia"/>
          <w:sz w:val="28"/>
          <w:szCs w:val="28"/>
        </w:rPr>
        <w:t>产品</w:t>
      </w:r>
      <w:r>
        <w:rPr>
          <w:sz w:val="28"/>
          <w:szCs w:val="28"/>
        </w:rPr>
        <w:t>质量，</w:t>
      </w:r>
      <w:r>
        <w:rPr>
          <w:rFonts w:hint="eastAsia"/>
          <w:sz w:val="28"/>
          <w:szCs w:val="28"/>
        </w:rPr>
        <w:t>用过硬的产品质量、真诚的</w:t>
      </w:r>
      <w:r>
        <w:rPr>
          <w:sz w:val="28"/>
          <w:szCs w:val="28"/>
        </w:rPr>
        <w:t>服务</w:t>
      </w:r>
      <w:r>
        <w:rPr>
          <w:rFonts w:hint="eastAsia"/>
          <w:sz w:val="28"/>
          <w:szCs w:val="28"/>
        </w:rPr>
        <w:t>质量赢得市场、赢得客户，回报</w:t>
      </w:r>
      <w:r>
        <w:rPr>
          <w:sz w:val="28"/>
          <w:szCs w:val="28"/>
        </w:rPr>
        <w:t>社会</w:t>
      </w:r>
      <w:r>
        <w:rPr>
          <w:rFonts w:hint="eastAsia"/>
          <w:sz w:val="28"/>
          <w:szCs w:val="28"/>
        </w:rPr>
        <w:t>。</w:t>
      </w:r>
    </w:p>
    <w:p>
      <w:pPr>
        <w:pStyle w:val="13"/>
        <w:spacing w:line="500" w:lineRule="exact"/>
        <w:ind w:left="720" w:right="720"/>
        <w:rPr>
          <w:sz w:val="28"/>
          <w:szCs w:val="28"/>
        </w:rPr>
      </w:pPr>
      <w:r>
        <w:rPr>
          <w:rFonts w:hint="eastAsia"/>
          <w:b/>
          <w:bCs/>
          <w:sz w:val="28"/>
          <w:szCs w:val="28"/>
        </w:rPr>
        <w:t>持续改进</w:t>
      </w:r>
      <w:r>
        <w:rPr>
          <w:rFonts w:hint="eastAsia"/>
          <w:sz w:val="28"/>
          <w:szCs w:val="28"/>
        </w:rPr>
        <w:t>――适应新形势、学习新经验、坚持高标准、不断修正和完善自我，永续经营、永续发展。</w:t>
      </w:r>
    </w:p>
    <w:p>
      <w:pPr>
        <w:pStyle w:val="6"/>
        <w:spacing w:line="440" w:lineRule="exact"/>
        <w:ind w:left="562" w:hanging="562" w:hangingChars="200"/>
        <w:rPr>
          <w:sz w:val="28"/>
          <w:szCs w:val="28"/>
        </w:rPr>
      </w:pPr>
      <w:r>
        <w:rPr>
          <w:rFonts w:hint="eastAsia"/>
          <w:b/>
          <w:bCs/>
          <w:sz w:val="28"/>
          <w:szCs w:val="28"/>
          <w:lang w:val="en-US" w:eastAsia="zh-CN"/>
        </w:rPr>
        <w:t>员工品质：</w:t>
      </w:r>
      <w:r>
        <w:rPr>
          <w:b/>
          <w:bCs/>
          <w:sz w:val="28"/>
          <w:szCs w:val="28"/>
        </w:rPr>
        <w:t xml:space="preserve">敬业 自强 诚实 守信 </w:t>
      </w:r>
      <w:r>
        <w:rPr>
          <w:rFonts w:hint="eastAsia"/>
          <w:b/>
          <w:bCs/>
          <w:sz w:val="28"/>
          <w:szCs w:val="28"/>
        </w:rPr>
        <w:t>开拓</w:t>
      </w:r>
      <w:r>
        <w:rPr>
          <w:b/>
          <w:bCs/>
          <w:sz w:val="28"/>
          <w:szCs w:val="28"/>
        </w:rPr>
        <w:t xml:space="preserve"> </w:t>
      </w:r>
      <w:r>
        <w:rPr>
          <w:rFonts w:hint="eastAsia"/>
          <w:b/>
          <w:bCs/>
          <w:sz w:val="28"/>
          <w:szCs w:val="28"/>
        </w:rPr>
        <w:t>进取</w:t>
      </w:r>
      <w:r>
        <w:rPr>
          <w:sz w:val="28"/>
          <w:szCs w:val="28"/>
        </w:rPr>
        <w:br w:type="textWrapping"/>
      </w:r>
      <w:r>
        <w:rPr>
          <w:b/>
          <w:bCs/>
          <w:sz w:val="28"/>
          <w:szCs w:val="28"/>
        </w:rPr>
        <w:t>敬业：</w:t>
      </w:r>
      <w:r>
        <w:rPr>
          <w:sz w:val="28"/>
          <w:szCs w:val="28"/>
        </w:rPr>
        <w:t>热爱</w:t>
      </w:r>
      <w:r>
        <w:rPr>
          <w:rFonts w:hint="eastAsia"/>
          <w:sz w:val="28"/>
          <w:szCs w:val="28"/>
        </w:rPr>
        <w:t>东渡</w:t>
      </w:r>
      <w:r>
        <w:rPr>
          <w:sz w:val="28"/>
          <w:szCs w:val="28"/>
        </w:rPr>
        <w:t>——与</w:t>
      </w:r>
      <w:r>
        <w:rPr>
          <w:rFonts w:hint="eastAsia"/>
          <w:sz w:val="28"/>
          <w:szCs w:val="28"/>
        </w:rPr>
        <w:t>东渡企业</w:t>
      </w:r>
      <w:r>
        <w:rPr>
          <w:sz w:val="28"/>
          <w:szCs w:val="28"/>
        </w:rPr>
        <w:t>同荣辱，共命运。</w:t>
      </w:r>
      <w:r>
        <w:rPr>
          <w:sz w:val="28"/>
          <w:szCs w:val="28"/>
        </w:rPr>
        <w:br w:type="textWrapping"/>
      </w:r>
      <w:r>
        <w:rPr>
          <w:rFonts w:hint="eastAsia"/>
          <w:sz w:val="28"/>
          <w:szCs w:val="28"/>
        </w:rPr>
        <w:t>　　　</w:t>
      </w:r>
      <w:r>
        <w:rPr>
          <w:sz w:val="28"/>
          <w:szCs w:val="28"/>
        </w:rPr>
        <w:t>热爱工作——精心钻研业务，全身心地投入工作。</w:t>
      </w:r>
      <w:r>
        <w:rPr>
          <w:sz w:val="28"/>
          <w:szCs w:val="28"/>
        </w:rPr>
        <w:br w:type="textWrapping"/>
      </w:r>
      <w:r>
        <w:rPr>
          <w:rFonts w:hint="eastAsia"/>
          <w:sz w:val="28"/>
          <w:szCs w:val="28"/>
        </w:rPr>
        <w:t>　　　</w:t>
      </w:r>
      <w:r>
        <w:rPr>
          <w:sz w:val="28"/>
          <w:szCs w:val="28"/>
        </w:rPr>
        <w:t>守职尽责——克尽岗位责任，保质保量地完成工</w:t>
      </w:r>
      <w:r>
        <w:rPr>
          <w:rFonts w:hint="eastAsia"/>
          <w:sz w:val="28"/>
          <w:szCs w:val="28"/>
        </w:rPr>
        <w:t>作任务</w:t>
      </w:r>
      <w:r>
        <w:rPr>
          <w:sz w:val="28"/>
          <w:szCs w:val="28"/>
        </w:rPr>
        <w:t>。</w:t>
      </w:r>
      <w:r>
        <w:rPr>
          <w:sz w:val="28"/>
          <w:szCs w:val="28"/>
        </w:rPr>
        <w:br w:type="textWrapping"/>
      </w:r>
      <w:r>
        <w:rPr>
          <w:rFonts w:hint="eastAsia"/>
          <w:sz w:val="28"/>
          <w:szCs w:val="28"/>
        </w:rPr>
        <w:t>　　　</w:t>
      </w:r>
      <w:r>
        <w:rPr>
          <w:sz w:val="28"/>
          <w:szCs w:val="28"/>
        </w:rPr>
        <w:t>敬业重客——热爱自己的职业，尊重企业的顾客。</w:t>
      </w:r>
      <w:r>
        <w:rPr>
          <w:sz w:val="28"/>
          <w:szCs w:val="28"/>
        </w:rPr>
        <w:br w:type="textWrapping"/>
      </w:r>
      <w:r>
        <w:rPr>
          <w:b/>
          <w:bCs/>
          <w:sz w:val="28"/>
          <w:szCs w:val="28"/>
        </w:rPr>
        <w:t>自强：</w:t>
      </w:r>
      <w:r>
        <w:rPr>
          <w:sz w:val="28"/>
          <w:szCs w:val="28"/>
        </w:rPr>
        <w:t>努力学习——不断提高自身的文化及业务素质。</w:t>
      </w:r>
      <w:r>
        <w:rPr>
          <w:sz w:val="28"/>
          <w:szCs w:val="28"/>
        </w:rPr>
        <w:br w:type="textWrapping"/>
      </w:r>
      <w:r>
        <w:rPr>
          <w:rFonts w:hint="eastAsia"/>
          <w:sz w:val="28"/>
          <w:szCs w:val="28"/>
        </w:rPr>
        <w:t>　　　</w:t>
      </w:r>
      <w:r>
        <w:rPr>
          <w:sz w:val="28"/>
          <w:szCs w:val="28"/>
        </w:rPr>
        <w:t>勤奋工作——奋发图强，在事业中以强者自勉。</w:t>
      </w:r>
      <w:r>
        <w:rPr>
          <w:sz w:val="28"/>
          <w:szCs w:val="28"/>
        </w:rPr>
        <w:br w:type="textWrapping"/>
      </w:r>
      <w:r>
        <w:rPr>
          <w:rFonts w:hint="eastAsia"/>
          <w:sz w:val="28"/>
          <w:szCs w:val="28"/>
        </w:rPr>
        <w:t>　　　</w:t>
      </w:r>
      <w:r>
        <w:rPr>
          <w:sz w:val="28"/>
          <w:szCs w:val="28"/>
        </w:rPr>
        <w:t>严于律己——做遵纪守法的模范。</w:t>
      </w:r>
      <w:r>
        <w:rPr>
          <w:sz w:val="28"/>
          <w:szCs w:val="28"/>
        </w:rPr>
        <w:br w:type="textWrapping"/>
      </w:r>
      <w:r>
        <w:rPr>
          <w:rFonts w:hint="eastAsia"/>
          <w:sz w:val="28"/>
          <w:szCs w:val="28"/>
        </w:rPr>
        <w:t>　　　</w:t>
      </w:r>
      <w:r>
        <w:rPr>
          <w:sz w:val="28"/>
          <w:szCs w:val="28"/>
        </w:rPr>
        <w:t>不卑不亢——不妄自菲薄，不骄傲自满。</w:t>
      </w:r>
      <w:r>
        <w:rPr>
          <w:sz w:val="28"/>
          <w:szCs w:val="28"/>
        </w:rPr>
        <w:br w:type="textWrapping"/>
      </w:r>
      <w:r>
        <w:rPr>
          <w:b/>
          <w:bCs/>
          <w:sz w:val="28"/>
          <w:szCs w:val="28"/>
        </w:rPr>
        <w:t>诚实：</w:t>
      </w:r>
      <w:r>
        <w:rPr>
          <w:sz w:val="28"/>
          <w:szCs w:val="28"/>
        </w:rPr>
        <w:t>忠于</w:t>
      </w:r>
      <w:r>
        <w:rPr>
          <w:rFonts w:hint="eastAsia"/>
          <w:sz w:val="28"/>
          <w:szCs w:val="28"/>
        </w:rPr>
        <w:t>企业</w:t>
      </w:r>
      <w:r>
        <w:rPr>
          <w:sz w:val="28"/>
          <w:szCs w:val="28"/>
        </w:rPr>
        <w:t>——维护</w:t>
      </w:r>
      <w:r>
        <w:rPr>
          <w:rFonts w:hint="eastAsia"/>
          <w:sz w:val="28"/>
          <w:szCs w:val="28"/>
        </w:rPr>
        <w:t>企业</w:t>
      </w:r>
      <w:r>
        <w:rPr>
          <w:sz w:val="28"/>
          <w:szCs w:val="28"/>
        </w:rPr>
        <w:t>利益，不做损害</w:t>
      </w:r>
      <w:r>
        <w:rPr>
          <w:rFonts w:hint="eastAsia"/>
          <w:sz w:val="28"/>
          <w:szCs w:val="28"/>
        </w:rPr>
        <w:t>企业</w:t>
      </w:r>
      <w:r>
        <w:rPr>
          <w:sz w:val="28"/>
          <w:szCs w:val="28"/>
        </w:rPr>
        <w:t>的事。</w:t>
      </w:r>
      <w:r>
        <w:rPr>
          <w:sz w:val="28"/>
          <w:szCs w:val="28"/>
        </w:rPr>
        <w:br w:type="textWrapping"/>
      </w:r>
      <w:r>
        <w:rPr>
          <w:rFonts w:hint="eastAsia"/>
          <w:sz w:val="28"/>
          <w:szCs w:val="28"/>
        </w:rPr>
        <w:t>　　　</w:t>
      </w:r>
      <w:r>
        <w:rPr>
          <w:sz w:val="28"/>
          <w:szCs w:val="28"/>
        </w:rPr>
        <w:t>以德取信——遵守商业道德，不做损害客户的事。</w:t>
      </w:r>
      <w:r>
        <w:rPr>
          <w:sz w:val="28"/>
          <w:szCs w:val="28"/>
        </w:rPr>
        <w:br w:type="textWrapping"/>
      </w:r>
      <w:r>
        <w:rPr>
          <w:rFonts w:hint="eastAsia"/>
          <w:sz w:val="28"/>
          <w:szCs w:val="28"/>
        </w:rPr>
        <w:t>　　　</w:t>
      </w:r>
      <w:r>
        <w:rPr>
          <w:sz w:val="28"/>
          <w:szCs w:val="28"/>
        </w:rPr>
        <w:t>以诚待客——诚心诚意地为客户服务。</w:t>
      </w:r>
      <w:r>
        <w:rPr>
          <w:sz w:val="28"/>
          <w:szCs w:val="28"/>
        </w:rPr>
        <w:br w:type="textWrapping"/>
      </w:r>
      <w:r>
        <w:rPr>
          <w:rFonts w:hint="eastAsia"/>
          <w:sz w:val="28"/>
          <w:szCs w:val="28"/>
        </w:rPr>
        <w:t>　　　</w:t>
      </w:r>
      <w:r>
        <w:rPr>
          <w:sz w:val="28"/>
          <w:szCs w:val="28"/>
        </w:rPr>
        <w:t>团结友爱——从团结愿望出发，以友爱之心待人</w:t>
      </w:r>
      <w:r>
        <w:rPr>
          <w:sz w:val="28"/>
          <w:szCs w:val="28"/>
        </w:rPr>
        <w:br w:type="textWrapping"/>
      </w:r>
      <w:r>
        <w:rPr>
          <w:b/>
          <w:bCs/>
          <w:sz w:val="28"/>
          <w:szCs w:val="28"/>
        </w:rPr>
        <w:t>守信：</w:t>
      </w:r>
      <w:r>
        <w:rPr>
          <w:sz w:val="28"/>
          <w:szCs w:val="28"/>
        </w:rPr>
        <w:t>守纪守信——不做失约、失信的事。</w:t>
      </w:r>
      <w:r>
        <w:rPr>
          <w:sz w:val="28"/>
          <w:szCs w:val="28"/>
        </w:rPr>
        <w:br w:type="textWrapping"/>
      </w:r>
      <w:r>
        <w:rPr>
          <w:rFonts w:hint="eastAsia"/>
          <w:sz w:val="28"/>
          <w:szCs w:val="28"/>
        </w:rPr>
        <w:t>　　　</w:t>
      </w:r>
      <w:r>
        <w:rPr>
          <w:sz w:val="28"/>
          <w:szCs w:val="28"/>
        </w:rPr>
        <w:t>言行一致——说到做到，言而有信。</w:t>
      </w:r>
      <w:r>
        <w:rPr>
          <w:sz w:val="28"/>
          <w:szCs w:val="28"/>
        </w:rPr>
        <w:br w:type="textWrapping"/>
      </w:r>
      <w:r>
        <w:rPr>
          <w:rFonts w:hint="eastAsia"/>
          <w:sz w:val="28"/>
          <w:szCs w:val="28"/>
        </w:rPr>
        <w:t>　　　</w:t>
      </w:r>
      <w:r>
        <w:rPr>
          <w:sz w:val="28"/>
          <w:szCs w:val="28"/>
        </w:rPr>
        <w:t>严守秘密——保守商业秘密，不失密、不泄密。</w:t>
      </w:r>
      <w:r>
        <w:rPr>
          <w:sz w:val="28"/>
          <w:szCs w:val="28"/>
        </w:rPr>
        <w:br w:type="textWrapping"/>
      </w:r>
      <w:r>
        <w:rPr>
          <w:rFonts w:hint="eastAsia"/>
          <w:sz w:val="28"/>
          <w:szCs w:val="28"/>
        </w:rPr>
        <w:t>　　　</w:t>
      </w:r>
      <w:r>
        <w:rPr>
          <w:sz w:val="28"/>
          <w:szCs w:val="28"/>
        </w:rPr>
        <w:t>善始善终——办事有始有终、负责带到底。</w:t>
      </w:r>
      <w:r>
        <w:rPr>
          <w:sz w:val="28"/>
          <w:szCs w:val="28"/>
        </w:rPr>
        <w:br w:type="textWrapping"/>
      </w:r>
      <w:r>
        <w:rPr>
          <w:rFonts w:hint="eastAsia"/>
          <w:b/>
          <w:bCs/>
          <w:sz w:val="28"/>
          <w:szCs w:val="28"/>
        </w:rPr>
        <w:t>开拓</w:t>
      </w:r>
      <w:r>
        <w:rPr>
          <w:b/>
          <w:bCs/>
          <w:sz w:val="28"/>
          <w:szCs w:val="28"/>
        </w:rPr>
        <w:t>：</w:t>
      </w:r>
      <w:r>
        <w:rPr>
          <w:sz w:val="28"/>
          <w:szCs w:val="28"/>
        </w:rPr>
        <w:t>勇于竞争——</w:t>
      </w:r>
      <w:r>
        <w:rPr>
          <w:rFonts w:hint="eastAsia"/>
          <w:sz w:val="28"/>
          <w:szCs w:val="28"/>
        </w:rPr>
        <w:t>思维超前</w:t>
      </w:r>
      <w:r>
        <w:rPr>
          <w:sz w:val="28"/>
          <w:szCs w:val="28"/>
        </w:rPr>
        <w:t>，</w:t>
      </w:r>
      <w:r>
        <w:rPr>
          <w:rFonts w:hint="eastAsia"/>
          <w:sz w:val="28"/>
          <w:szCs w:val="28"/>
        </w:rPr>
        <w:t>不甘示弱，敢为人先</w:t>
      </w:r>
      <w:r>
        <w:rPr>
          <w:sz w:val="28"/>
          <w:szCs w:val="28"/>
        </w:rPr>
        <w:t>。</w:t>
      </w:r>
      <w:r>
        <w:rPr>
          <w:sz w:val="28"/>
          <w:szCs w:val="28"/>
        </w:rPr>
        <w:br w:type="textWrapping"/>
      </w:r>
      <w:r>
        <w:rPr>
          <w:rFonts w:hint="eastAsia"/>
          <w:sz w:val="28"/>
          <w:szCs w:val="28"/>
        </w:rPr>
        <w:t>　　　善于竞争</w:t>
      </w:r>
      <w:r>
        <w:rPr>
          <w:sz w:val="28"/>
          <w:szCs w:val="28"/>
        </w:rPr>
        <w:t>——</w:t>
      </w:r>
      <w:r>
        <w:rPr>
          <w:rFonts w:hint="eastAsia"/>
          <w:sz w:val="28"/>
          <w:szCs w:val="28"/>
        </w:rPr>
        <w:t>知已知彼，取人所长</w:t>
      </w:r>
      <w:r>
        <w:rPr>
          <w:sz w:val="28"/>
          <w:szCs w:val="28"/>
        </w:rPr>
        <w:t>，</w:t>
      </w:r>
      <w:r>
        <w:rPr>
          <w:rFonts w:hint="eastAsia"/>
          <w:sz w:val="28"/>
          <w:szCs w:val="28"/>
        </w:rPr>
        <w:t>以智取胜</w:t>
      </w:r>
      <w:r>
        <w:rPr>
          <w:sz w:val="28"/>
          <w:szCs w:val="28"/>
        </w:rPr>
        <w:t>。</w:t>
      </w:r>
      <w:r>
        <w:rPr>
          <w:sz w:val="28"/>
          <w:szCs w:val="28"/>
        </w:rPr>
        <w:br w:type="textWrapping"/>
      </w:r>
      <w:r>
        <w:rPr>
          <w:b/>
          <w:bCs/>
          <w:sz w:val="28"/>
          <w:szCs w:val="28"/>
        </w:rPr>
        <w:t>进取</w:t>
      </w:r>
      <w:r>
        <w:rPr>
          <w:rFonts w:hint="eastAsia"/>
          <w:sz w:val="28"/>
          <w:szCs w:val="28"/>
        </w:rPr>
        <w:t>：以厂为荣</w:t>
      </w:r>
      <w:r>
        <w:rPr>
          <w:sz w:val="28"/>
          <w:szCs w:val="28"/>
        </w:rPr>
        <w:t>——建设</w:t>
      </w:r>
      <w:r>
        <w:rPr>
          <w:rFonts w:hint="eastAsia"/>
          <w:sz w:val="28"/>
          <w:szCs w:val="28"/>
        </w:rPr>
        <w:t>东渡</w:t>
      </w:r>
      <w:r>
        <w:rPr>
          <w:sz w:val="28"/>
          <w:szCs w:val="28"/>
        </w:rPr>
        <w:t>，振兴</w:t>
      </w:r>
      <w:r>
        <w:rPr>
          <w:rFonts w:hint="eastAsia"/>
          <w:sz w:val="28"/>
          <w:szCs w:val="28"/>
        </w:rPr>
        <w:t>东渡</w:t>
      </w:r>
      <w:r>
        <w:rPr>
          <w:sz w:val="28"/>
          <w:szCs w:val="28"/>
        </w:rPr>
        <w:t>，发展</w:t>
      </w:r>
      <w:r>
        <w:rPr>
          <w:rFonts w:hint="eastAsia"/>
          <w:sz w:val="28"/>
          <w:szCs w:val="28"/>
        </w:rPr>
        <w:t>东渡</w:t>
      </w:r>
      <w:r>
        <w:rPr>
          <w:sz w:val="28"/>
          <w:szCs w:val="28"/>
        </w:rPr>
        <w:t>，</w:t>
      </w:r>
      <w:r>
        <w:rPr>
          <w:rFonts w:hint="eastAsia"/>
          <w:sz w:val="28"/>
          <w:szCs w:val="28"/>
        </w:rPr>
        <w:t>厂荣我荣。</w:t>
      </w:r>
      <w:r>
        <w:rPr>
          <w:sz w:val="28"/>
          <w:szCs w:val="28"/>
        </w:rPr>
        <w:br w:type="textWrapping"/>
      </w:r>
      <w:r>
        <w:rPr>
          <w:rFonts w:hint="eastAsia"/>
          <w:sz w:val="28"/>
          <w:szCs w:val="28"/>
        </w:rPr>
        <w:t>　　　争先进位</w:t>
      </w:r>
      <w:r>
        <w:rPr>
          <w:sz w:val="28"/>
          <w:szCs w:val="28"/>
        </w:rPr>
        <w:t>——</w:t>
      </w:r>
      <w:r>
        <w:rPr>
          <w:rFonts w:hint="eastAsia"/>
          <w:sz w:val="28"/>
          <w:szCs w:val="28"/>
        </w:rPr>
        <w:t>提高技能、当文明市民、做优秀员工、保行业领先。</w:t>
      </w:r>
      <w:r>
        <w:rPr>
          <w:sz w:val="28"/>
          <w:szCs w:val="28"/>
        </w:rPr>
        <w:br w:type="textWrapping"/>
      </w:r>
    </w:p>
    <w:p>
      <w:pPr>
        <w:pStyle w:val="6"/>
        <w:spacing w:line="500" w:lineRule="exact"/>
        <w:rPr>
          <w:b/>
          <w:bCs w:val="0"/>
          <w:sz w:val="28"/>
          <w:szCs w:val="28"/>
        </w:rPr>
      </w:pPr>
      <w:r>
        <w:rPr>
          <w:rFonts w:hint="eastAsia"/>
          <w:b/>
          <w:bCs w:val="0"/>
          <w:sz w:val="28"/>
          <w:szCs w:val="28"/>
        </w:rPr>
        <w:t>企业主题</w:t>
      </w:r>
      <w:r>
        <w:rPr>
          <w:rFonts w:hint="eastAsia"/>
          <w:b/>
          <w:bCs w:val="0"/>
          <w:sz w:val="28"/>
          <w:szCs w:val="28"/>
          <w:lang w:eastAsia="zh-CN"/>
        </w:rPr>
        <w:t>：</w:t>
      </w:r>
      <w:r>
        <w:rPr>
          <w:rFonts w:hint="eastAsia"/>
          <w:b/>
          <w:bCs w:val="0"/>
          <w:sz w:val="28"/>
          <w:szCs w:val="28"/>
        </w:rPr>
        <w:t>“以效益为中心，以管理为基础，以文化为内涵，以育才为根本，以提高企业美誉度和市场竞争能力为目的”</w:t>
      </w:r>
    </w:p>
    <w:p>
      <w:pPr>
        <w:pStyle w:val="6"/>
        <w:spacing w:line="500" w:lineRule="exact"/>
        <w:ind w:firstLine="1405" w:firstLineChars="500"/>
        <w:rPr>
          <w:b/>
          <w:bCs w:val="0"/>
          <w:sz w:val="28"/>
          <w:szCs w:val="28"/>
        </w:rPr>
      </w:pPr>
    </w:p>
    <w:p>
      <w:pPr>
        <w:pStyle w:val="6"/>
        <w:spacing w:line="500" w:lineRule="exact"/>
        <w:rPr>
          <w:b/>
          <w:bCs w:val="0"/>
          <w:sz w:val="28"/>
          <w:szCs w:val="28"/>
        </w:rPr>
      </w:pPr>
      <w:r>
        <w:rPr>
          <w:rFonts w:hint="eastAsia"/>
          <w:b/>
          <w:bCs w:val="0"/>
          <w:sz w:val="28"/>
          <w:szCs w:val="28"/>
        </w:rPr>
        <w:t>企业目标</w:t>
      </w:r>
      <w:r>
        <w:rPr>
          <w:rFonts w:hint="eastAsia"/>
          <w:b/>
          <w:bCs w:val="0"/>
          <w:sz w:val="28"/>
          <w:szCs w:val="28"/>
          <w:lang w:eastAsia="zh-CN"/>
        </w:rPr>
        <w:t>：</w:t>
      </w:r>
      <w:r>
        <w:rPr>
          <w:rFonts w:hint="eastAsia"/>
          <w:b/>
          <w:bCs w:val="0"/>
          <w:sz w:val="28"/>
          <w:szCs w:val="28"/>
        </w:rPr>
        <w:t>“规模做大、企业</w:t>
      </w:r>
      <w:r>
        <w:rPr>
          <w:rFonts w:hint="eastAsia"/>
          <w:b/>
          <w:bCs w:val="0"/>
          <w:sz w:val="28"/>
          <w:szCs w:val="28"/>
          <w:lang w:val="en-US" w:eastAsia="zh-CN"/>
        </w:rPr>
        <w:t>做</w:t>
      </w:r>
      <w:r>
        <w:rPr>
          <w:rFonts w:hint="eastAsia"/>
          <w:b/>
          <w:bCs w:val="0"/>
          <w:sz w:val="28"/>
          <w:szCs w:val="28"/>
        </w:rPr>
        <w:t>强、管理求精、效益共享”</w:t>
      </w:r>
    </w:p>
    <w:p>
      <w:pPr>
        <w:pStyle w:val="6"/>
        <w:spacing w:line="500" w:lineRule="exact"/>
        <w:ind w:firstLine="1124" w:firstLineChars="400"/>
        <w:rPr>
          <w:b/>
          <w:bCs w:val="0"/>
          <w:sz w:val="28"/>
          <w:szCs w:val="28"/>
        </w:rPr>
      </w:pPr>
    </w:p>
    <w:p>
      <w:pPr>
        <w:pStyle w:val="6"/>
        <w:spacing w:line="500" w:lineRule="exact"/>
        <w:rPr>
          <w:b/>
          <w:bCs w:val="0"/>
          <w:sz w:val="28"/>
          <w:szCs w:val="28"/>
        </w:rPr>
      </w:pPr>
      <w:r>
        <w:rPr>
          <w:rFonts w:hint="eastAsia"/>
          <w:b/>
          <w:bCs w:val="0"/>
          <w:sz w:val="28"/>
          <w:szCs w:val="28"/>
        </w:rPr>
        <w:t>环境方针</w:t>
      </w:r>
      <w:r>
        <w:rPr>
          <w:rFonts w:hint="eastAsia"/>
          <w:b/>
          <w:bCs w:val="0"/>
          <w:sz w:val="28"/>
          <w:szCs w:val="28"/>
          <w:lang w:eastAsia="zh-CN"/>
        </w:rPr>
        <w:t>：</w:t>
      </w:r>
      <w:r>
        <w:rPr>
          <w:rFonts w:hint="eastAsia"/>
          <w:b/>
          <w:bCs w:val="0"/>
          <w:sz w:val="28"/>
          <w:szCs w:val="28"/>
        </w:rPr>
        <w:t>遵守法规　保护环境　预防污染　节约能源　持续上进</w:t>
      </w:r>
    </w:p>
    <w:p/>
    <w:p>
      <w:pPr>
        <w:pStyle w:val="6"/>
        <w:spacing w:line="440" w:lineRule="exact"/>
        <w:ind w:firstLine="1400" w:firstLineChars="500"/>
        <w:rPr>
          <w:rFonts w:hint="eastAsia"/>
          <w:sz w:val="28"/>
          <w:szCs w:val="28"/>
        </w:rPr>
      </w:pPr>
    </w:p>
    <w:p>
      <w:pPr>
        <w:pStyle w:val="6"/>
        <w:spacing w:line="440" w:lineRule="exact"/>
        <w:rPr>
          <w:rFonts w:hint="eastAsia"/>
          <w:sz w:val="24"/>
          <w:szCs w:val="24"/>
        </w:rPr>
      </w:pPr>
      <w:r>
        <w:rPr>
          <w:rFonts w:hint="eastAsia"/>
          <w:b/>
          <w:bCs w:val="0"/>
          <w:sz w:val="28"/>
          <w:szCs w:val="28"/>
        </w:rPr>
        <w:t>企业机制是：“创新、质量、快速反映”</w:t>
      </w:r>
    </w:p>
    <w:p>
      <w:pPr>
        <w:spacing w:line="520" w:lineRule="exact"/>
        <w:ind w:firstLine="560" w:firstLineChars="200"/>
        <w:rPr>
          <w:rFonts w:hint="eastAsia" w:ascii="方正仿宋_GBK" w:eastAsia="方正仿宋_GBK"/>
          <w:sz w:val="28"/>
          <w:szCs w:val="28"/>
        </w:rPr>
      </w:pP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三、公司战略</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持续创新战略</w:t>
      </w:r>
      <w:r>
        <w:rPr>
          <w:rFonts w:hint="eastAsia" w:ascii="仿宋_GB2312" w:eastAsia="仿宋_GB2312"/>
          <w:sz w:val="30"/>
          <w:szCs w:val="30"/>
          <w:lang w:val="en-US" w:eastAsia="zh-CN"/>
        </w:rPr>
        <w:t>。注重驱动创新发展，加大技术创新、管理创新和商业模式创新的力度，促进技术创新、管理创新和商业模式创新的有机融合，发挥集成创新的“倍增效益”。</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人才强企战略</w:t>
      </w:r>
      <w:r>
        <w:rPr>
          <w:rFonts w:hint="eastAsia" w:ascii="仿宋_GB2312" w:eastAsia="仿宋_GB2312"/>
          <w:sz w:val="30"/>
          <w:szCs w:val="30"/>
          <w:lang w:val="en-US" w:eastAsia="zh-CN"/>
        </w:rPr>
        <w:t>。以培养和造就结构优化、布局合理、素质优良的人才队伍为目的，确立人才竞争优势，以一流员工队伍打造一流企业。</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品牌提升战略</w:t>
      </w:r>
      <w:r>
        <w:rPr>
          <w:rFonts w:hint="eastAsia" w:ascii="仿宋_GB2312" w:eastAsia="仿宋_GB2312"/>
          <w:sz w:val="30"/>
          <w:szCs w:val="30"/>
          <w:lang w:val="en-US" w:eastAsia="zh-CN"/>
        </w:rPr>
        <w:t>。健全品牌管理制度，搭建品牌管理平台，形成科学、系统的品牌管理体系，发掘和提升品牌核心价值，以品牌促进企业发展，形成品牌经营与提高集团核心竞争力的良好互动关系，创造更多的超额价值。</w:t>
      </w:r>
    </w:p>
    <w:p>
      <w:pPr>
        <w:spacing w:line="520" w:lineRule="exact"/>
        <w:ind w:firstLine="560"/>
        <w:rPr>
          <w:rFonts w:hint="eastAsia" w:ascii="仿宋_GB2312" w:eastAsia="仿宋_GB2312"/>
          <w:sz w:val="30"/>
          <w:szCs w:val="30"/>
          <w:lang w:val="en-US" w:eastAsia="zh-CN"/>
        </w:rPr>
      </w:pPr>
    </w:p>
    <w:p>
      <w:pPr>
        <w:spacing w:line="520" w:lineRule="exact"/>
        <w:rPr>
          <w:rFonts w:asciiTheme="minorEastAsia" w:hAnsiTheme="minorEastAsia"/>
          <w:sz w:val="28"/>
          <w:szCs w:val="28"/>
        </w:rPr>
      </w:pPr>
      <w:r>
        <w:rPr>
          <w:rFonts w:hint="eastAsia" w:asciiTheme="minorEastAsia" w:hAnsiTheme="minorEastAsia"/>
          <w:sz w:val="28"/>
          <w:szCs w:val="28"/>
        </w:rPr>
        <w:t>四、责任专题</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责任东渡——提升责任管理</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加强社会责任管理是适应国内社会责任发展趋势的需要，是落实公司发展战略的内在要求。东渡高度重视社会责任管理工作，以创造经济、社会和环境综合价值为目标，不断优化社会责任管理模型，健全社会责任组织管理体系，强化利益相关方管理，推动社会责任和企业经营深度融合。</w:t>
      </w:r>
    </w:p>
    <w:p>
      <w:pPr>
        <w:spacing w:line="520" w:lineRule="exact"/>
        <w:ind w:firstLine="560" w:firstLineChars="200"/>
        <w:jc w:val="left"/>
        <w:rPr>
          <w:rFonts w:ascii="方正仿宋_GBK" w:eastAsia="方正仿宋_GBK"/>
          <w:sz w:val="28"/>
          <w:szCs w:val="28"/>
        </w:rPr>
      </w:pPr>
    </w:p>
    <w:tbl>
      <w:tblPr>
        <w:tblStyle w:val="17"/>
        <w:tblW w:w="8222" w:type="dxa"/>
        <w:tblInd w:w="108" w:type="dxa"/>
        <w:tblLayout w:type="fixed"/>
        <w:tblCellMar>
          <w:top w:w="0" w:type="dxa"/>
          <w:left w:w="108" w:type="dxa"/>
          <w:bottom w:w="0" w:type="dxa"/>
          <w:right w:w="108" w:type="dxa"/>
        </w:tblCellMar>
      </w:tblPr>
      <w:tblGrid>
        <w:gridCol w:w="2122"/>
        <w:gridCol w:w="6100"/>
      </w:tblGrid>
      <w:tr>
        <w:tblPrEx>
          <w:tblLayout w:type="fixed"/>
          <w:tblCellMar>
            <w:top w:w="0" w:type="dxa"/>
            <w:left w:w="108" w:type="dxa"/>
            <w:bottom w:w="0" w:type="dxa"/>
            <w:right w:w="108" w:type="dxa"/>
          </w:tblCellMar>
        </w:tblPrEx>
        <w:trPr>
          <w:trHeight w:val="612" w:hRule="atLeast"/>
        </w:trPr>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520" w:lineRule="exact"/>
              <w:jc w:val="center"/>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利益相关方</w:t>
            </w:r>
          </w:p>
        </w:tc>
        <w:tc>
          <w:tcPr>
            <w:tcW w:w="6100" w:type="dxa"/>
            <w:tcBorders>
              <w:top w:val="single" w:color="auto" w:sz="4" w:space="0"/>
              <w:left w:val="nil"/>
              <w:bottom w:val="single" w:color="auto" w:sz="4" w:space="0"/>
              <w:right w:val="single" w:color="auto" w:sz="4" w:space="0"/>
            </w:tcBorders>
            <w:shd w:val="clear" w:color="auto" w:fill="auto"/>
            <w:vAlign w:val="center"/>
          </w:tcPr>
          <w:p>
            <w:pPr>
              <w:widowControl/>
              <w:spacing w:line="520" w:lineRule="exact"/>
              <w:jc w:val="center"/>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责任实践</w:t>
            </w:r>
          </w:p>
        </w:tc>
      </w:tr>
      <w:tr>
        <w:tblPrEx>
          <w:tblLayout w:type="fixed"/>
          <w:tblCellMar>
            <w:top w:w="0" w:type="dxa"/>
            <w:left w:w="108" w:type="dxa"/>
            <w:bottom w:w="0" w:type="dxa"/>
            <w:right w:w="108" w:type="dxa"/>
          </w:tblCellMar>
        </w:tblPrEx>
        <w:trPr>
          <w:trHeight w:val="996"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政府机构</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提供就业岗位、主动纳税、创造社会财富、拉动地方相关产业发展</w:t>
            </w:r>
          </w:p>
        </w:tc>
      </w:tr>
      <w:tr>
        <w:tblPrEx>
          <w:tblLayout w:type="fixed"/>
          <w:tblCellMar>
            <w:top w:w="0" w:type="dxa"/>
            <w:left w:w="108" w:type="dxa"/>
            <w:bottom w:w="0" w:type="dxa"/>
            <w:right w:w="108" w:type="dxa"/>
          </w:tblCellMar>
        </w:tblPrEx>
        <w:trPr>
          <w:trHeight w:val="961"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员工</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平等就业、畅通职业发展通道、开展教育培训、员工关爱、加强海外员工管理</w:t>
            </w:r>
          </w:p>
        </w:tc>
      </w:tr>
      <w:tr>
        <w:tblPrEx>
          <w:tblLayout w:type="fixed"/>
          <w:tblCellMar>
            <w:top w:w="0" w:type="dxa"/>
            <w:left w:w="108" w:type="dxa"/>
            <w:bottom w:w="0" w:type="dxa"/>
            <w:right w:w="108" w:type="dxa"/>
          </w:tblCellMar>
        </w:tblPrEx>
        <w:trPr>
          <w:trHeight w:val="976"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客户</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合同履约、提供高品质的产品与服务、完善服务体系</w:t>
            </w:r>
          </w:p>
        </w:tc>
      </w:tr>
      <w:tr>
        <w:tblPrEx>
          <w:tblLayout w:type="fixed"/>
          <w:tblCellMar>
            <w:top w:w="0" w:type="dxa"/>
            <w:left w:w="108" w:type="dxa"/>
            <w:bottom w:w="0" w:type="dxa"/>
            <w:right w:w="108" w:type="dxa"/>
          </w:tblCellMar>
        </w:tblPrEx>
        <w:trPr>
          <w:trHeight w:val="983"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环境</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绿色环境管理、绿色设计、绿色产品、绿色建设、绿色环保行动</w:t>
            </w:r>
          </w:p>
        </w:tc>
      </w:tr>
      <w:tr>
        <w:tblPrEx>
          <w:tblLayout w:type="fixed"/>
          <w:tblCellMar>
            <w:top w:w="0" w:type="dxa"/>
            <w:left w:w="108" w:type="dxa"/>
            <w:bottom w:w="0" w:type="dxa"/>
            <w:right w:w="108" w:type="dxa"/>
          </w:tblCellMar>
        </w:tblPrEx>
        <w:trPr>
          <w:trHeight w:val="558"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供应商</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平等协商、信守合同、责任采购</w:t>
            </w:r>
          </w:p>
        </w:tc>
      </w:tr>
      <w:tr>
        <w:tblPrEx>
          <w:tblLayout w:type="fixed"/>
          <w:tblCellMar>
            <w:top w:w="0" w:type="dxa"/>
            <w:left w:w="108" w:type="dxa"/>
            <w:bottom w:w="0" w:type="dxa"/>
            <w:right w:w="108" w:type="dxa"/>
          </w:tblCellMar>
        </w:tblPrEx>
        <w:trPr>
          <w:trHeight w:val="565"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合作伙伴</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诚信守法、互利共赢</w:t>
            </w:r>
          </w:p>
        </w:tc>
      </w:tr>
      <w:tr>
        <w:tblPrEx>
          <w:tblLayout w:type="fixed"/>
          <w:tblCellMar>
            <w:top w:w="0" w:type="dxa"/>
            <w:left w:w="108" w:type="dxa"/>
            <w:bottom w:w="0" w:type="dxa"/>
            <w:right w:w="108" w:type="dxa"/>
          </w:tblCellMar>
        </w:tblPrEx>
        <w:trPr>
          <w:trHeight w:val="828"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同行</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维护行业健康发、展参与制定行业标准、促进行业交流与合作</w:t>
            </w:r>
          </w:p>
        </w:tc>
      </w:tr>
      <w:tr>
        <w:tblPrEx>
          <w:tblLayout w:type="fixed"/>
          <w:tblCellMar>
            <w:top w:w="0" w:type="dxa"/>
            <w:left w:w="108" w:type="dxa"/>
            <w:bottom w:w="0" w:type="dxa"/>
            <w:right w:w="108" w:type="dxa"/>
          </w:tblCellMar>
        </w:tblPrEx>
        <w:trPr>
          <w:trHeight w:val="92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spacing w:line="52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社区、公众及非政府组织</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社会公益行动</w:t>
            </w:r>
          </w:p>
        </w:tc>
      </w:tr>
    </w:tbl>
    <w:p>
      <w:pPr>
        <w:spacing w:line="520" w:lineRule="exact"/>
        <w:ind w:firstLine="560" w:firstLineChars="200"/>
        <w:jc w:val="left"/>
        <w:rPr>
          <w:rFonts w:ascii="方正仿宋_GBK" w:eastAsia="方正仿宋_GBK"/>
          <w:sz w:val="28"/>
          <w:szCs w:val="28"/>
        </w:rPr>
      </w:pPr>
    </w:p>
    <w:p>
      <w:pPr>
        <w:pStyle w:val="6"/>
        <w:spacing w:line="520" w:lineRule="exact"/>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u w:val="single"/>
          <w:lang w:val="en-US" w:eastAsia="zh-CN" w:bidi="ar-SA"/>
        </w:rPr>
        <w:t>价值东渡——贡献实体经济</w:t>
      </w:r>
    </w:p>
    <w:p>
      <w:pPr>
        <w:pStyle w:val="6"/>
        <w:spacing w:line="520" w:lineRule="exact"/>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1、稳健经营发展</w:t>
      </w:r>
    </w:p>
    <w:p>
      <w:pPr>
        <w:pStyle w:val="6"/>
        <w:spacing w:line="520" w:lineRule="exact"/>
        <w:ind w:firstLine="600" w:firstLineChars="200"/>
        <w:rPr>
          <w:rFonts w:ascii="方正仿宋_GBK" w:eastAsia="方正仿宋_GBK"/>
          <w:sz w:val="28"/>
          <w:szCs w:val="28"/>
        </w:rPr>
      </w:pPr>
      <w:r>
        <w:rPr>
          <w:rFonts w:hint="eastAsia" w:ascii="仿宋_GB2312" w:eastAsia="仿宋_GB2312" w:hAnsiTheme="minorHAnsi" w:cstheme="minorBidi"/>
          <w:kern w:val="2"/>
          <w:sz w:val="30"/>
          <w:szCs w:val="30"/>
          <w:lang w:val="en-US" w:eastAsia="zh-CN" w:bidi="ar-SA"/>
        </w:rPr>
        <w:t>围绕拥有配套优势、规模优势、布局优势、环保优势、创新优势，坚持走有质量的发展之路，积极夯实管理基础，加强推进转型升级，不断优化产品结构，持续完善产业链布局，贡献实体经济发展，实现纺织服装的“中国制造”向“中国创造”迈进。</w:t>
      </w:r>
    </w:p>
    <w:p>
      <w:pPr>
        <w:pStyle w:val="6"/>
        <w:spacing w:line="520" w:lineRule="exact"/>
        <w:ind w:firstLine="560" w:firstLineChars="200"/>
        <w:rPr>
          <w:rFonts w:hint="eastAsia" w:ascii="方正仿宋_GBK" w:eastAsia="方正仿宋_GBK"/>
          <w:sz w:val="28"/>
          <w:szCs w:val="28"/>
          <w:lang w:val="en-US" w:eastAsia="zh-CN"/>
        </w:rPr>
      </w:pPr>
      <w:r>
        <w:rPr>
          <w:rFonts w:hint="eastAsia" w:ascii="方正仿宋_GBK" w:eastAsia="方正仿宋_GBK"/>
          <w:sz w:val="28"/>
          <w:szCs w:val="28"/>
        </w:rPr>
        <w:t>近三年业绩情况如下：</w:t>
      </w:r>
    </w:p>
    <w:tbl>
      <w:tblPr>
        <w:tblStyle w:val="17"/>
        <w:tblW w:w="8931" w:type="dxa"/>
        <w:jc w:val="center"/>
        <w:tblInd w:w="-743" w:type="dxa"/>
        <w:tblLayout w:type="fixed"/>
        <w:tblCellMar>
          <w:top w:w="0" w:type="dxa"/>
          <w:left w:w="0" w:type="dxa"/>
          <w:bottom w:w="0" w:type="dxa"/>
          <w:right w:w="0" w:type="dxa"/>
        </w:tblCellMar>
      </w:tblPr>
      <w:tblGrid>
        <w:gridCol w:w="1134"/>
        <w:gridCol w:w="1276"/>
        <w:gridCol w:w="1594"/>
        <w:gridCol w:w="1242"/>
        <w:gridCol w:w="1276"/>
        <w:gridCol w:w="1135"/>
        <w:gridCol w:w="1274"/>
      </w:tblGrid>
      <w:tr>
        <w:tblPrEx>
          <w:tblLayout w:type="fixed"/>
          <w:tblCellMar>
            <w:top w:w="0" w:type="dxa"/>
            <w:left w:w="0" w:type="dxa"/>
            <w:bottom w:w="0" w:type="dxa"/>
            <w:right w:w="0" w:type="dxa"/>
          </w:tblCellMar>
        </w:tblPrEx>
        <w:trPr>
          <w:trHeight w:val="939" w:hRule="atLeast"/>
          <w:jc w:val="center"/>
        </w:trPr>
        <w:tc>
          <w:tcPr>
            <w:tcW w:w="1134"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年度</w:t>
            </w:r>
          </w:p>
        </w:tc>
        <w:tc>
          <w:tcPr>
            <w:tcW w:w="1276"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销售收入（万元）</w:t>
            </w:r>
          </w:p>
        </w:tc>
        <w:tc>
          <w:tcPr>
            <w:tcW w:w="1594"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销售收入</w:t>
            </w:r>
          </w:p>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增长率</w:t>
            </w:r>
          </w:p>
        </w:tc>
        <w:tc>
          <w:tcPr>
            <w:tcW w:w="1242"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利润总额（万元）</w:t>
            </w:r>
          </w:p>
        </w:tc>
        <w:tc>
          <w:tcPr>
            <w:tcW w:w="1276"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实缴税金（万元）</w:t>
            </w:r>
          </w:p>
        </w:tc>
        <w:tc>
          <w:tcPr>
            <w:tcW w:w="1135"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研发投入（万元）</w:t>
            </w:r>
          </w:p>
        </w:tc>
        <w:tc>
          <w:tcPr>
            <w:tcW w:w="1274" w:type="dxa"/>
            <w:tcBorders>
              <w:top w:val="single" w:color="FFFFFF" w:sz="8" w:space="0"/>
              <w:left w:val="single" w:color="FFFFFF" w:sz="8" w:space="0"/>
              <w:bottom w:val="single" w:color="FFFFFF" w:sz="24" w:space="0"/>
              <w:right w:val="single" w:color="FFFFFF" w:sz="8" w:space="0"/>
            </w:tcBorders>
            <w:shd w:val="clear" w:color="auto" w:fill="BBE0E3"/>
            <w:tcMar>
              <w:top w:w="15" w:type="dxa"/>
              <w:left w:w="108" w:type="dxa"/>
              <w:bottom w:w="0" w:type="dxa"/>
              <w:right w:w="108" w:type="dxa"/>
            </w:tcMar>
            <w:vAlign w:val="center"/>
          </w:tcPr>
          <w:p>
            <w:pPr>
              <w:pStyle w:val="6"/>
              <w:spacing w:line="400" w:lineRule="exact"/>
              <w:jc w:val="center"/>
              <w:rPr>
                <w:rFonts w:ascii="方正仿宋_GBK" w:eastAsia="方正仿宋_GBK"/>
                <w:sz w:val="22"/>
                <w:szCs w:val="28"/>
              </w:rPr>
            </w:pPr>
            <w:r>
              <w:rPr>
                <w:rFonts w:hint="eastAsia" w:ascii="方正仿宋_GBK" w:eastAsia="方正仿宋_GBK"/>
                <w:b/>
                <w:bCs/>
                <w:sz w:val="22"/>
                <w:szCs w:val="28"/>
              </w:rPr>
              <w:t>研发投入占销售比</w:t>
            </w:r>
          </w:p>
        </w:tc>
      </w:tr>
      <w:tr>
        <w:tblPrEx>
          <w:tblLayout w:type="fixed"/>
          <w:tblCellMar>
            <w:top w:w="0" w:type="dxa"/>
            <w:left w:w="0" w:type="dxa"/>
            <w:bottom w:w="0" w:type="dxa"/>
            <w:right w:w="0" w:type="dxa"/>
          </w:tblCellMar>
        </w:tblPrEx>
        <w:trPr>
          <w:trHeight w:val="816" w:hRule="atLeast"/>
          <w:jc w:val="center"/>
        </w:trPr>
        <w:tc>
          <w:tcPr>
            <w:tcW w:w="1134"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sz w:val="22"/>
                <w:szCs w:val="28"/>
              </w:rPr>
            </w:pPr>
            <w:r>
              <w:rPr>
                <w:rFonts w:hint="eastAsia" w:ascii="方正仿宋_GBK" w:eastAsia="方正仿宋_GBK"/>
                <w:sz w:val="22"/>
                <w:szCs w:val="28"/>
              </w:rPr>
              <w:t>20</w:t>
            </w:r>
            <w:r>
              <w:rPr>
                <w:rFonts w:hint="eastAsia" w:ascii="方正仿宋_GBK" w:eastAsia="方正仿宋_GBK"/>
                <w:sz w:val="22"/>
                <w:szCs w:val="28"/>
                <w:lang w:val="en-US" w:eastAsia="zh-CN"/>
              </w:rPr>
              <w:t>18</w:t>
            </w:r>
            <w:r>
              <w:rPr>
                <w:rFonts w:hint="eastAsia" w:ascii="方正仿宋_GBK" w:eastAsia="方正仿宋_GBK"/>
                <w:sz w:val="22"/>
                <w:szCs w:val="28"/>
              </w:rPr>
              <w:t>年</w:t>
            </w:r>
          </w:p>
        </w:tc>
        <w:tc>
          <w:tcPr>
            <w:tcW w:w="1276"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167,788</w:t>
            </w:r>
          </w:p>
        </w:tc>
        <w:tc>
          <w:tcPr>
            <w:tcW w:w="1594"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rPr>
              <w:t>↑</w:t>
            </w:r>
            <w:r>
              <w:rPr>
                <w:rFonts w:hint="eastAsia" w:ascii="方正仿宋_GBK" w:eastAsia="方正仿宋_GBK"/>
                <w:color w:val="0000FF"/>
                <w:sz w:val="22"/>
                <w:szCs w:val="28"/>
                <w:lang w:val="en-US" w:eastAsia="zh-CN"/>
              </w:rPr>
              <w:t>0.5</w:t>
            </w:r>
            <w:r>
              <w:rPr>
                <w:rFonts w:hint="eastAsia" w:ascii="方正仿宋_GBK" w:eastAsia="方正仿宋_GBK"/>
                <w:color w:val="0000FF"/>
                <w:sz w:val="22"/>
                <w:szCs w:val="28"/>
              </w:rPr>
              <w:t>%</w:t>
            </w:r>
          </w:p>
        </w:tc>
        <w:tc>
          <w:tcPr>
            <w:tcW w:w="1242"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6,320</w:t>
            </w:r>
          </w:p>
        </w:tc>
        <w:tc>
          <w:tcPr>
            <w:tcW w:w="1276"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6,806</w:t>
            </w:r>
          </w:p>
        </w:tc>
        <w:tc>
          <w:tcPr>
            <w:tcW w:w="1135"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5,200</w:t>
            </w:r>
          </w:p>
        </w:tc>
        <w:tc>
          <w:tcPr>
            <w:tcW w:w="1274" w:type="dxa"/>
            <w:tcBorders>
              <w:top w:val="single" w:color="FFFFFF" w:sz="24"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lang w:val="en-US" w:eastAsia="zh-CN"/>
              </w:rPr>
              <w:t>3.09</w:t>
            </w:r>
            <w:r>
              <w:rPr>
                <w:rFonts w:hint="eastAsia" w:ascii="方正仿宋_GBK" w:eastAsia="方正仿宋_GBK"/>
                <w:color w:val="0000FF"/>
                <w:sz w:val="22"/>
                <w:szCs w:val="28"/>
              </w:rPr>
              <w:t>%</w:t>
            </w:r>
          </w:p>
        </w:tc>
      </w:tr>
      <w:tr>
        <w:tblPrEx>
          <w:tblLayout w:type="fixed"/>
          <w:tblCellMar>
            <w:top w:w="0" w:type="dxa"/>
            <w:left w:w="0" w:type="dxa"/>
            <w:bottom w:w="0" w:type="dxa"/>
            <w:right w:w="0" w:type="dxa"/>
          </w:tblCellMar>
        </w:tblPrEx>
        <w:trPr>
          <w:trHeight w:val="816" w:hRule="atLeast"/>
          <w:jc w:val="center"/>
        </w:trPr>
        <w:tc>
          <w:tcPr>
            <w:tcW w:w="1134"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ascii="方正仿宋_GBK" w:eastAsia="方正仿宋_GBK"/>
                <w:sz w:val="22"/>
                <w:szCs w:val="28"/>
              </w:rPr>
            </w:pPr>
            <w:r>
              <w:rPr>
                <w:rFonts w:hint="eastAsia" w:ascii="方正仿宋_GBK" w:eastAsia="方正仿宋_GBK"/>
                <w:sz w:val="22"/>
                <w:szCs w:val="28"/>
              </w:rPr>
              <w:t>20</w:t>
            </w:r>
            <w:r>
              <w:rPr>
                <w:rFonts w:hint="eastAsia" w:ascii="方正仿宋_GBK" w:eastAsia="方正仿宋_GBK"/>
                <w:sz w:val="22"/>
                <w:szCs w:val="28"/>
                <w:lang w:val="en-US" w:eastAsia="zh-CN"/>
              </w:rPr>
              <w:t>17</w:t>
            </w:r>
            <w:r>
              <w:rPr>
                <w:rFonts w:hint="eastAsia" w:ascii="方正仿宋_GBK" w:eastAsia="方正仿宋_GBK"/>
                <w:sz w:val="22"/>
                <w:szCs w:val="28"/>
              </w:rPr>
              <w:t>年</w:t>
            </w:r>
          </w:p>
        </w:tc>
        <w:tc>
          <w:tcPr>
            <w:tcW w:w="1276"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167,052</w:t>
            </w:r>
          </w:p>
        </w:tc>
        <w:tc>
          <w:tcPr>
            <w:tcW w:w="1594"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rPr>
              <w:t>↑</w:t>
            </w:r>
            <w:r>
              <w:rPr>
                <w:rFonts w:hint="eastAsia" w:ascii="方正仿宋_GBK" w:eastAsia="方正仿宋_GBK"/>
                <w:color w:val="0000FF"/>
                <w:sz w:val="22"/>
                <w:szCs w:val="28"/>
                <w:lang w:val="en-US" w:eastAsia="zh-CN"/>
              </w:rPr>
              <w:t>0.2</w:t>
            </w:r>
            <w:r>
              <w:rPr>
                <w:rFonts w:hint="eastAsia" w:ascii="方正仿宋_GBK" w:eastAsia="方正仿宋_GBK"/>
                <w:color w:val="0000FF"/>
                <w:sz w:val="22"/>
                <w:szCs w:val="28"/>
              </w:rPr>
              <w:t>%</w:t>
            </w:r>
          </w:p>
        </w:tc>
        <w:tc>
          <w:tcPr>
            <w:tcW w:w="1242"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6,057</w:t>
            </w:r>
          </w:p>
        </w:tc>
        <w:tc>
          <w:tcPr>
            <w:tcW w:w="1276"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6.748</w:t>
            </w:r>
          </w:p>
        </w:tc>
        <w:tc>
          <w:tcPr>
            <w:tcW w:w="1135"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5,167</w:t>
            </w:r>
          </w:p>
        </w:tc>
        <w:tc>
          <w:tcPr>
            <w:tcW w:w="1274" w:type="dxa"/>
            <w:tcBorders>
              <w:top w:val="single" w:color="FFFFFF" w:sz="8" w:space="0"/>
              <w:left w:val="single" w:color="FFFFFF" w:sz="8" w:space="0"/>
              <w:bottom w:val="single" w:color="FFFFFF" w:sz="8" w:space="0"/>
              <w:right w:val="single" w:color="FFFFFF" w:sz="8" w:space="0"/>
            </w:tcBorders>
            <w:shd w:val="clear" w:color="auto" w:fill="F3F9FA"/>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lang w:val="en-US" w:eastAsia="zh-CN"/>
              </w:rPr>
              <w:t>3.09</w:t>
            </w:r>
            <w:r>
              <w:rPr>
                <w:rFonts w:hint="eastAsia" w:ascii="方正仿宋_GBK" w:eastAsia="方正仿宋_GBK"/>
                <w:color w:val="0000FF"/>
                <w:sz w:val="22"/>
                <w:szCs w:val="28"/>
              </w:rPr>
              <w:t>%</w:t>
            </w:r>
          </w:p>
        </w:tc>
      </w:tr>
      <w:tr>
        <w:tblPrEx>
          <w:tblLayout w:type="fixed"/>
          <w:tblCellMar>
            <w:top w:w="0" w:type="dxa"/>
            <w:left w:w="0" w:type="dxa"/>
            <w:bottom w:w="0" w:type="dxa"/>
            <w:right w:w="0" w:type="dxa"/>
          </w:tblCellMar>
        </w:tblPrEx>
        <w:trPr>
          <w:trHeight w:val="816" w:hRule="atLeast"/>
          <w:jc w:val="center"/>
        </w:trPr>
        <w:tc>
          <w:tcPr>
            <w:tcW w:w="1134"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sz w:val="22"/>
                <w:szCs w:val="28"/>
              </w:rPr>
            </w:pPr>
            <w:r>
              <w:rPr>
                <w:rFonts w:hint="eastAsia" w:ascii="方正仿宋_GBK" w:eastAsia="方正仿宋_GBK"/>
                <w:sz w:val="22"/>
                <w:szCs w:val="28"/>
              </w:rPr>
              <w:t>201</w:t>
            </w:r>
            <w:r>
              <w:rPr>
                <w:rFonts w:hint="eastAsia" w:ascii="方正仿宋_GBK" w:eastAsia="方正仿宋_GBK"/>
                <w:sz w:val="22"/>
                <w:szCs w:val="28"/>
                <w:lang w:val="en-US" w:eastAsia="zh-CN"/>
              </w:rPr>
              <w:t>6</w:t>
            </w:r>
            <w:r>
              <w:rPr>
                <w:rFonts w:hint="eastAsia" w:ascii="方正仿宋_GBK" w:eastAsia="方正仿宋_GBK"/>
                <w:sz w:val="22"/>
                <w:szCs w:val="28"/>
              </w:rPr>
              <w:t>年</w:t>
            </w:r>
          </w:p>
        </w:tc>
        <w:tc>
          <w:tcPr>
            <w:tcW w:w="1276"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166,829</w:t>
            </w:r>
          </w:p>
        </w:tc>
        <w:tc>
          <w:tcPr>
            <w:tcW w:w="1594"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rPr>
              <w:t>↑</w:t>
            </w:r>
            <w:r>
              <w:rPr>
                <w:rFonts w:hint="eastAsia" w:ascii="方正仿宋_GBK" w:eastAsia="方正仿宋_GBK"/>
                <w:color w:val="0000FF"/>
                <w:sz w:val="22"/>
                <w:szCs w:val="28"/>
                <w:lang w:val="en-US" w:eastAsia="zh-CN"/>
              </w:rPr>
              <w:t>2.5</w:t>
            </w:r>
            <w:r>
              <w:rPr>
                <w:rFonts w:hint="eastAsia" w:ascii="方正仿宋_GBK" w:eastAsia="方正仿宋_GBK"/>
                <w:color w:val="0000FF"/>
                <w:sz w:val="22"/>
                <w:szCs w:val="28"/>
              </w:rPr>
              <w:t>%</w:t>
            </w:r>
          </w:p>
        </w:tc>
        <w:tc>
          <w:tcPr>
            <w:tcW w:w="1242"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6,726</w:t>
            </w:r>
          </w:p>
        </w:tc>
        <w:tc>
          <w:tcPr>
            <w:tcW w:w="1276"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6,409</w:t>
            </w:r>
          </w:p>
        </w:tc>
        <w:tc>
          <w:tcPr>
            <w:tcW w:w="1135"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hint="eastAsia" w:ascii="方正仿宋_GBK" w:eastAsia="方正仿宋_GBK"/>
                <w:color w:val="0000FF"/>
                <w:sz w:val="22"/>
                <w:szCs w:val="28"/>
                <w:lang w:val="en-US" w:eastAsia="zh-CN"/>
              </w:rPr>
            </w:pPr>
            <w:r>
              <w:rPr>
                <w:rFonts w:hint="eastAsia" w:ascii="方正仿宋_GBK" w:eastAsia="方正仿宋_GBK"/>
                <w:color w:val="0000FF"/>
                <w:sz w:val="22"/>
                <w:szCs w:val="28"/>
                <w:lang w:val="en-US" w:eastAsia="zh-CN"/>
              </w:rPr>
              <w:t>5,000</w:t>
            </w:r>
          </w:p>
        </w:tc>
        <w:tc>
          <w:tcPr>
            <w:tcW w:w="1274" w:type="dxa"/>
            <w:tcBorders>
              <w:top w:val="single" w:color="FFFFFF" w:sz="8" w:space="0"/>
              <w:left w:val="single" w:color="FFFFFF" w:sz="8" w:space="0"/>
              <w:bottom w:val="single" w:color="FFFFFF" w:sz="8" w:space="0"/>
              <w:right w:val="single" w:color="FFFFFF" w:sz="8" w:space="0"/>
            </w:tcBorders>
            <w:shd w:val="clear" w:color="auto" w:fill="E7F3F4"/>
            <w:tcMar>
              <w:top w:w="15" w:type="dxa"/>
              <w:left w:w="108" w:type="dxa"/>
              <w:bottom w:w="0" w:type="dxa"/>
              <w:right w:w="108" w:type="dxa"/>
            </w:tcMar>
            <w:vAlign w:val="center"/>
          </w:tcPr>
          <w:p>
            <w:pPr>
              <w:pStyle w:val="6"/>
              <w:spacing w:line="520" w:lineRule="exact"/>
              <w:jc w:val="center"/>
              <w:rPr>
                <w:rFonts w:ascii="方正仿宋_GBK" w:eastAsia="方正仿宋_GBK"/>
                <w:color w:val="0000FF"/>
                <w:sz w:val="22"/>
                <w:szCs w:val="28"/>
              </w:rPr>
            </w:pPr>
            <w:r>
              <w:rPr>
                <w:rFonts w:hint="eastAsia" w:ascii="方正仿宋_GBK" w:eastAsia="方正仿宋_GBK"/>
                <w:color w:val="0000FF"/>
                <w:sz w:val="22"/>
                <w:szCs w:val="28"/>
              </w:rPr>
              <w:t>3.</w:t>
            </w:r>
            <w:r>
              <w:rPr>
                <w:rFonts w:hint="eastAsia" w:ascii="方正仿宋_GBK" w:eastAsia="方正仿宋_GBK"/>
                <w:color w:val="0000FF"/>
                <w:sz w:val="22"/>
                <w:szCs w:val="28"/>
                <w:lang w:val="en-US" w:eastAsia="zh-CN"/>
              </w:rPr>
              <w:t>00</w:t>
            </w:r>
            <w:r>
              <w:rPr>
                <w:rFonts w:hint="eastAsia" w:ascii="方正仿宋_GBK" w:eastAsia="方正仿宋_GBK"/>
                <w:color w:val="0000FF"/>
                <w:sz w:val="22"/>
                <w:szCs w:val="28"/>
              </w:rPr>
              <w:t>%</w:t>
            </w:r>
          </w:p>
        </w:tc>
      </w:tr>
    </w:tbl>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2、夯实管理基础</w:t>
      </w:r>
    </w:p>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东渡集团坚持以实现价值最大化为目标，深化战略管理，强化财务管控，实施全面风险管理，依法合规诚信运营，持续推进信息化建设，逐步推动向专业化、精细化和体系和转变，企业管理现代化水平持续提高，为实现健康可持续发展提供了强有力的保障。</w:t>
      </w:r>
    </w:p>
    <w:p>
      <w:pPr>
        <w:pStyle w:val="6"/>
        <w:spacing w:line="520" w:lineRule="exact"/>
        <w:rPr>
          <w:rFonts w:ascii="方正仿宋_GBK" w:eastAsia="方正仿宋_GBK"/>
          <w:sz w:val="28"/>
          <w:szCs w:val="28"/>
          <w:u w:val="single"/>
        </w:rPr>
      </w:pPr>
    </w:p>
    <w:p>
      <w:pPr>
        <w:pStyle w:val="6"/>
        <w:spacing w:line="520" w:lineRule="exact"/>
        <w:rPr>
          <w:rFonts w:hint="eastAsia" w:ascii="仿宋_GB2312" w:eastAsia="仿宋_GB2312" w:hAnsiTheme="minorHAnsi" w:cstheme="minorBidi"/>
          <w:kern w:val="2"/>
          <w:sz w:val="30"/>
          <w:szCs w:val="30"/>
          <w:u w:val="single"/>
          <w:lang w:val="en-US" w:eastAsia="zh-CN" w:bidi="ar-SA"/>
        </w:rPr>
      </w:pPr>
      <w:r>
        <w:rPr>
          <w:rFonts w:hint="eastAsia" w:ascii="仿宋_GB2312" w:eastAsia="仿宋_GB2312" w:hAnsiTheme="minorHAnsi" w:cstheme="minorBidi"/>
          <w:kern w:val="2"/>
          <w:sz w:val="30"/>
          <w:szCs w:val="30"/>
          <w:u w:val="single"/>
          <w:lang w:val="en-US" w:eastAsia="zh-CN" w:bidi="ar-SA"/>
        </w:rPr>
        <w:t>创新东渡——驱动变革转型</w:t>
      </w:r>
    </w:p>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大力实施驱动创新发展战略，加大科技创新力度，深入开展管理创新，不断增强创新动力、活力、实力。</w:t>
      </w:r>
    </w:p>
    <w:p>
      <w:pPr>
        <w:pStyle w:val="6"/>
        <w:spacing w:line="520" w:lineRule="exact"/>
        <w:ind w:firstLine="560" w:firstLineChars="200"/>
        <w:rPr>
          <w:rFonts w:ascii="方正仿宋_GBK" w:eastAsia="方正仿宋_GBK"/>
          <w:sz w:val="28"/>
          <w:szCs w:val="28"/>
        </w:rPr>
      </w:pPr>
      <w:r>
        <w:rPr>
          <w:rFonts w:hint="eastAsia" w:ascii="方正仿宋_GBK" w:eastAsia="方正仿宋_GBK"/>
          <w:sz w:val="28"/>
          <w:szCs w:val="28"/>
        </w:rPr>
        <w:t>1、自主创新能力建设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东渡纺织集团一贯重视自主科技研发团队的建设，定期组织中高级人才进行出国考察，定期邀请国内外专家教授来公司进行技术培训，同时也制定了完善的研发人员创新创优奖励制度。集团现有在职技术人员480余人，其中70%以上为大专以上学历，中高级职称占10%以上；其中专职技术研发人员约120人，占技术人员总数的25%。</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研发中心配备专职的创新技术专家团队，对产品创新、创新给予特别的重视，通过绿色生态婴童装及功能性面料创新等一系列技术和理论的广泛应用。公司每年自主研发新品，年研发投入占销售收入不低于3%，工业设计投入占研发投入不低于24%。同时公司在新加坡、美国、英国设立工业设计部门和产品调研部门，通过全球协作的研发系统与跨国团队的合作，悉心分析消费者使用细节，不断推出适合市场需求的纺织服装新品。</w:t>
      </w:r>
    </w:p>
    <w:p>
      <w:pPr>
        <w:spacing w:line="520" w:lineRule="exact"/>
        <w:ind w:firstLine="560" w:firstLineChars="200"/>
        <w:rPr>
          <w:rFonts w:ascii="仿宋_GB2312" w:hAnsi="仿宋_GB2312" w:eastAsia="仿宋_GB2312" w:cs="仿宋_GB2312"/>
          <w:sz w:val="28"/>
          <w:szCs w:val="28"/>
        </w:rPr>
      </w:pPr>
    </w:p>
    <w:tbl>
      <w:tblPr>
        <w:tblStyle w:val="17"/>
        <w:tblW w:w="8840" w:type="dxa"/>
        <w:jc w:val="center"/>
        <w:tblInd w:w="0"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498"/>
        <w:gridCol w:w="4181"/>
        <w:gridCol w:w="1117"/>
        <w:gridCol w:w="2090"/>
        <w:gridCol w:w="954"/>
      </w:tblGrid>
      <w:tr>
        <w:tblPrEx>
          <w:tblLayout w:type="fixed"/>
          <w:tblCellMar>
            <w:top w:w="0" w:type="dxa"/>
            <w:left w:w="108" w:type="dxa"/>
            <w:bottom w:w="0" w:type="dxa"/>
            <w:right w:w="108" w:type="dxa"/>
          </w:tblCellMar>
        </w:tblPrEx>
        <w:trPr>
          <w:trHeight w:val="510" w:hRule="atLeast"/>
          <w:jc w:val="center"/>
        </w:trPr>
        <w:tc>
          <w:tcPr>
            <w:tcW w:w="498" w:type="dxa"/>
            <w:tcBorders>
              <w:top w:val="single" w:color="4F81BD" w:sz="4" w:space="0"/>
              <w:left w:val="single" w:color="4F81BD" w:sz="4" w:space="0"/>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序号</w:t>
            </w:r>
          </w:p>
        </w:tc>
        <w:tc>
          <w:tcPr>
            <w:tcW w:w="4181"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授权（申请）项目名称</w:t>
            </w:r>
          </w:p>
        </w:tc>
        <w:tc>
          <w:tcPr>
            <w:tcW w:w="1117"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知识产权类别</w:t>
            </w:r>
          </w:p>
        </w:tc>
        <w:tc>
          <w:tcPr>
            <w:tcW w:w="2090"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授权号</w:t>
            </w:r>
          </w:p>
        </w:tc>
        <w:tc>
          <w:tcPr>
            <w:tcW w:w="954" w:type="dxa"/>
            <w:tcBorders>
              <w:top w:val="single" w:color="4F81BD" w:sz="4" w:space="0"/>
              <w:left w:val="nil"/>
              <w:bottom w:val="single" w:color="4F81BD" w:sz="4" w:space="0"/>
              <w:right w:val="single" w:color="4F81BD" w:sz="4" w:space="0"/>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备注</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粘胶丝盖棉三防校服面料及其生产工艺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ZL200810097235.1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一种护理型混纺面料及其生产方法</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ZL200910026121.2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一种天然绿色型面料及其生产方法</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ZL200910026122.7</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天然纤维面料的荧光染色工艺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ZL200910027728.2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高弹毛巾布面料及其生产工艺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ZL201010284403.5</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发热复合面料及其生产工艺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ZL201010152880.6</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7</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连续式印染污泥干化处理及资源化利用方法</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ZL201010513629.8</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8</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保健型混纺高弹针织面料的生产工艺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ZL201410286868.2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9</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保健型混纺针织面料的生产工艺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ZL201410286870.X</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10</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抗菌护肤针织面料的生产工艺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ZL201410288538.7</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天然保健抗菌针织面料的生产工艺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ZL201410286900.7</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棉类针织面料持续光鲜生产工艺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ZL201410285737.2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纤维素纤维类针织布的生产工艺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ZL201410286898.3</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抗菌抗静电环保高弹面料的生产工艺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ZL201410285736.8</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一种全棉针织面料的生产工艺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ZL201410286897.9</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高密高弹保健面料的生产工艺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ZL201611183141.7</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17</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抽条风格的混纺高弹环保双面布的生产工艺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ZL201611182646.1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09"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18</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印染污泥旋转闪蒸干燥机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ZL201020569870.8</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14"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19</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一种针织双面提花布</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ZL201120055891.2</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367"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20</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针织毛巾布</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ZL201120055879.1</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16"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一种涤棉复合面料</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ZL201120055887.6</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23"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织造大圆机的卷布装置</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ZL201621400444.5</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15"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金丝健康双面布</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ZL201621400772.5</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393"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一种废水能回用的染整前处理联合机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ZL201820074236.3</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4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针织物连续前处理废水回用系统</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ZL201721444218.1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05"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袋鼠袋免烫免点位贴袋模板</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ZL201720576706.1</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bl>
    <w:p>
      <w:pPr>
        <w:spacing w:line="520" w:lineRule="exact"/>
        <w:ind w:firstLine="560" w:firstLineChars="200"/>
        <w:rPr>
          <w:rFonts w:ascii="仿宋_GB2312" w:hAnsi="仿宋_GB2312" w:eastAsia="仿宋_GB2312" w:cs="仿宋_GB2312"/>
          <w:sz w:val="28"/>
          <w:szCs w:val="28"/>
        </w:rPr>
      </w:pPr>
    </w:p>
    <w:tbl>
      <w:tblPr>
        <w:tblStyle w:val="17"/>
        <w:tblW w:w="8868" w:type="dxa"/>
        <w:jc w:val="center"/>
        <w:tblInd w:w="0"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788"/>
        <w:gridCol w:w="1276"/>
        <w:gridCol w:w="2977"/>
        <w:gridCol w:w="3118"/>
        <w:gridCol w:w="709"/>
      </w:tblGrid>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484" w:hRule="atLeast"/>
          <w:jc w:val="center"/>
        </w:trPr>
        <w:tc>
          <w:tcPr>
            <w:tcW w:w="788" w:type="dxa"/>
            <w:tcBorders>
              <w:top w:val="single" w:color="4F81BD" w:sz="4" w:space="0"/>
              <w:left w:val="single" w:color="4F81BD" w:sz="4" w:space="0"/>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ascii="Times New Roman" w:hAnsi="Times New Roman"/>
                <w:b/>
                <w:bCs/>
                <w:color w:val="FFFFFF"/>
                <w:sz w:val="24"/>
                <w:szCs w:val="30"/>
              </w:rPr>
              <w:t>序号</w:t>
            </w:r>
          </w:p>
        </w:tc>
        <w:tc>
          <w:tcPr>
            <w:tcW w:w="1276"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鉴定时间</w:t>
            </w:r>
          </w:p>
        </w:tc>
        <w:tc>
          <w:tcPr>
            <w:tcW w:w="2977"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鉴定新产品</w:t>
            </w:r>
            <w:r>
              <w:rPr>
                <w:rFonts w:ascii="Times New Roman" w:hAnsi="Times New Roman"/>
                <w:b/>
                <w:bCs/>
                <w:color w:val="FFFFFF"/>
                <w:sz w:val="24"/>
                <w:szCs w:val="30"/>
              </w:rPr>
              <w:t>名称</w:t>
            </w:r>
          </w:p>
        </w:tc>
        <w:tc>
          <w:tcPr>
            <w:tcW w:w="3118"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鉴定证书</w:t>
            </w:r>
            <w:r>
              <w:rPr>
                <w:rFonts w:ascii="Times New Roman" w:hAnsi="Times New Roman"/>
                <w:b/>
                <w:bCs/>
                <w:color w:val="FFFFFF"/>
                <w:sz w:val="24"/>
                <w:szCs w:val="30"/>
              </w:rPr>
              <w:t>编号</w:t>
            </w:r>
          </w:p>
        </w:tc>
        <w:tc>
          <w:tcPr>
            <w:tcW w:w="709" w:type="dxa"/>
            <w:tcBorders>
              <w:top w:val="single" w:color="4F81BD" w:sz="4" w:space="0"/>
              <w:left w:val="nil"/>
              <w:bottom w:val="single" w:color="4F81BD" w:sz="4" w:space="0"/>
              <w:right w:val="single" w:color="4F81BD" w:sz="4" w:space="0"/>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备注</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1</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高弹毛巾布</w:t>
            </w:r>
            <w:r>
              <w:rPr>
                <w:rFonts w:ascii="Times New Roman" w:hAnsi="Times New Roman"/>
                <w:sz w:val="24"/>
                <w:szCs w:val="30"/>
              </w:rPr>
              <w:t>面料</w:t>
            </w:r>
          </w:p>
        </w:tc>
        <w:tc>
          <w:tcPr>
            <w:tcW w:w="3118" w:type="dxa"/>
            <w:shd w:val="clear" w:color="auto" w:fill="DBE5F1"/>
            <w:vAlign w:val="center"/>
          </w:tcPr>
          <w:p>
            <w:pPr>
              <w:autoSpaceDN w:val="0"/>
              <w:spacing w:line="300" w:lineRule="exact"/>
              <w:jc w:val="center"/>
              <w:rPr>
                <w:rFonts w:ascii="Times New Roman" w:hAnsi="Times New Roman"/>
                <w:sz w:val="24"/>
                <w:szCs w:val="30"/>
              </w:rPr>
            </w:pP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ascii="Times New Roman" w:hAnsi="Times New Roman"/>
                <w:b/>
                <w:bCs/>
                <w:sz w:val="24"/>
                <w:szCs w:val="30"/>
              </w:rPr>
              <w:t>2</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环保</w:t>
            </w:r>
            <w:r>
              <w:rPr>
                <w:rFonts w:ascii="Times New Roman" w:hAnsi="Times New Roman"/>
                <w:sz w:val="24"/>
                <w:szCs w:val="30"/>
              </w:rPr>
              <w:t>棉型荧光织物</w:t>
            </w:r>
          </w:p>
        </w:tc>
        <w:tc>
          <w:tcPr>
            <w:tcW w:w="3118" w:type="dxa"/>
            <w:shd w:val="clear" w:color="auto" w:fill="auto"/>
            <w:vAlign w:val="center"/>
          </w:tcPr>
          <w:p>
            <w:pPr>
              <w:autoSpaceDN w:val="0"/>
              <w:spacing w:line="300" w:lineRule="exact"/>
              <w:jc w:val="center"/>
              <w:rPr>
                <w:rFonts w:ascii="Times New Roman" w:hAnsi="Times New Roman"/>
                <w:sz w:val="24"/>
                <w:szCs w:val="30"/>
              </w:rPr>
            </w:pP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ascii="Times New Roman" w:hAnsi="Times New Roman"/>
                <w:b/>
                <w:bCs/>
                <w:sz w:val="24"/>
                <w:szCs w:val="30"/>
              </w:rPr>
              <w:t>3</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2107年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抗菌</w:t>
            </w:r>
            <w:r>
              <w:rPr>
                <w:rFonts w:ascii="Times New Roman" w:hAnsi="Times New Roman"/>
                <w:sz w:val="24"/>
                <w:szCs w:val="30"/>
              </w:rPr>
              <w:t>驱蚊功能性</w:t>
            </w:r>
            <w:r>
              <w:rPr>
                <w:rFonts w:hint="eastAsia" w:ascii="Times New Roman" w:hAnsi="Times New Roman"/>
                <w:sz w:val="24"/>
                <w:szCs w:val="30"/>
              </w:rPr>
              <w:t>面料</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字［2017］647号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ascii="Times New Roman" w:hAnsi="Times New Roman"/>
                <w:b/>
                <w:bCs/>
                <w:sz w:val="24"/>
                <w:szCs w:val="30"/>
              </w:rPr>
              <w:t>4</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持续光鲜</w:t>
            </w:r>
            <w:r>
              <w:rPr>
                <w:rFonts w:ascii="Times New Roman" w:hAnsi="Times New Roman"/>
                <w:sz w:val="24"/>
                <w:szCs w:val="30"/>
              </w:rPr>
              <w:t>工艺生产的棉型针织面料及</w:t>
            </w:r>
            <w:r>
              <w:rPr>
                <w:rFonts w:hint="eastAsia" w:ascii="Times New Roman" w:hAnsi="Times New Roman"/>
                <w:sz w:val="24"/>
                <w:szCs w:val="30"/>
              </w:rPr>
              <w:t>服装</w:t>
            </w:r>
          </w:p>
        </w:tc>
        <w:tc>
          <w:tcPr>
            <w:tcW w:w="3118"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字［2017］648号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5</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抗菌</w:t>
            </w:r>
            <w:r>
              <w:rPr>
                <w:rFonts w:ascii="Times New Roman" w:hAnsi="Times New Roman"/>
                <w:sz w:val="24"/>
                <w:szCs w:val="30"/>
              </w:rPr>
              <w:t>驱蚊功能性</w:t>
            </w:r>
            <w:r>
              <w:rPr>
                <w:rFonts w:hint="eastAsia" w:ascii="Times New Roman" w:hAnsi="Times New Roman"/>
                <w:sz w:val="24"/>
                <w:szCs w:val="30"/>
              </w:rPr>
              <w:t>服装</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字［2017］649号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6</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草珊瑚</w:t>
            </w:r>
            <w:r>
              <w:rPr>
                <w:rFonts w:ascii="Times New Roman" w:hAnsi="Times New Roman"/>
                <w:sz w:val="24"/>
                <w:szCs w:val="30"/>
              </w:rPr>
              <w:t>发热功能</w:t>
            </w:r>
            <w:r>
              <w:rPr>
                <w:rFonts w:hint="eastAsia" w:ascii="Times New Roman" w:hAnsi="Times New Roman"/>
                <w:sz w:val="24"/>
                <w:szCs w:val="30"/>
              </w:rPr>
              <w:t>性服装</w:t>
            </w:r>
          </w:p>
        </w:tc>
        <w:tc>
          <w:tcPr>
            <w:tcW w:w="3118"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［2018］1085号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7</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莱赛尔</w:t>
            </w:r>
            <w:r>
              <w:rPr>
                <w:rFonts w:ascii="Times New Roman" w:hAnsi="Times New Roman"/>
                <w:sz w:val="24"/>
                <w:szCs w:val="30"/>
              </w:rPr>
              <w:t>纤维环保服装</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［2018］1086号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8</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草珊瑚</w:t>
            </w:r>
            <w:r>
              <w:rPr>
                <w:rFonts w:ascii="Times New Roman" w:hAnsi="Times New Roman"/>
                <w:sz w:val="24"/>
                <w:szCs w:val="30"/>
              </w:rPr>
              <w:t>发热</w:t>
            </w:r>
            <w:r>
              <w:rPr>
                <w:rFonts w:hint="eastAsia" w:ascii="Times New Roman" w:hAnsi="Times New Roman"/>
                <w:sz w:val="24"/>
                <w:szCs w:val="30"/>
              </w:rPr>
              <w:t>功能性面料</w:t>
            </w:r>
          </w:p>
        </w:tc>
        <w:tc>
          <w:tcPr>
            <w:tcW w:w="3118" w:type="dxa"/>
            <w:shd w:val="clear" w:color="auto" w:fill="auto"/>
            <w:vAlign w:val="center"/>
          </w:tcPr>
          <w:p>
            <w:pPr>
              <w:autoSpaceDN w:val="0"/>
              <w:spacing w:line="300" w:lineRule="exact"/>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［2018］1087号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9</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莱赛尔</w:t>
            </w:r>
            <w:r>
              <w:rPr>
                <w:rFonts w:ascii="Times New Roman" w:hAnsi="Times New Roman"/>
                <w:sz w:val="24"/>
                <w:szCs w:val="30"/>
              </w:rPr>
              <w:t>纤维环保面料</w:t>
            </w:r>
          </w:p>
        </w:tc>
        <w:tc>
          <w:tcPr>
            <w:tcW w:w="3118" w:type="dxa"/>
            <w:shd w:val="clear" w:color="auto" w:fill="DBE5F1"/>
            <w:vAlign w:val="center"/>
          </w:tcPr>
          <w:p>
            <w:pPr>
              <w:autoSpaceDN w:val="0"/>
              <w:spacing w:line="300" w:lineRule="exact"/>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［2018］1088号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bl>
    <w:p>
      <w:pPr>
        <w:spacing w:line="520" w:lineRule="exact"/>
        <w:ind w:firstLine="560" w:firstLineChars="200"/>
        <w:rPr>
          <w:rFonts w:ascii="仿宋_GB2312" w:hAnsi="仿宋_GB2312" w:eastAsia="仿宋_GB2312" w:cs="仿宋_GB2312"/>
          <w:sz w:val="28"/>
          <w:szCs w:val="28"/>
        </w:rPr>
      </w:pPr>
    </w:p>
    <w:tbl>
      <w:tblPr>
        <w:tblStyle w:val="17"/>
        <w:tblW w:w="8831" w:type="dxa"/>
        <w:jc w:val="center"/>
        <w:tblInd w:w="-201"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851"/>
        <w:gridCol w:w="2877"/>
        <w:gridCol w:w="3827"/>
        <w:gridCol w:w="1276"/>
      </w:tblGrid>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851" w:type="dxa"/>
            <w:tcBorders>
              <w:top w:val="single" w:color="4F81BD" w:sz="4" w:space="0"/>
              <w:left w:val="single" w:color="4F81BD" w:sz="4" w:space="0"/>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序号</w:t>
            </w:r>
          </w:p>
        </w:tc>
        <w:tc>
          <w:tcPr>
            <w:tcW w:w="2877" w:type="dxa"/>
            <w:tcBorders>
              <w:top w:val="single" w:color="4F81BD" w:sz="4" w:space="0"/>
              <w:left w:val="nil"/>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机构名称</w:t>
            </w:r>
          </w:p>
        </w:tc>
        <w:tc>
          <w:tcPr>
            <w:tcW w:w="3827" w:type="dxa"/>
            <w:tcBorders>
              <w:top w:val="single" w:color="4F81BD" w:sz="4" w:space="0"/>
              <w:left w:val="nil"/>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认定机构</w:t>
            </w:r>
          </w:p>
        </w:tc>
        <w:tc>
          <w:tcPr>
            <w:tcW w:w="1276" w:type="dxa"/>
            <w:tcBorders>
              <w:top w:val="single" w:color="4F81BD" w:sz="4" w:space="0"/>
              <w:left w:val="nil"/>
              <w:bottom w:val="single" w:color="4F81BD" w:sz="4" w:space="0"/>
              <w:right w:val="single" w:color="4F81BD" w:sz="4" w:space="0"/>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认定时间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trHeight w:val="992" w:hRule="atLeast"/>
          <w:jc w:val="center"/>
        </w:trPr>
        <w:tc>
          <w:tcPr>
            <w:tcW w:w="851" w:type="dxa"/>
            <w:shd w:val="clear" w:color="auto" w:fill="DBE5F1"/>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1</w:t>
            </w:r>
          </w:p>
        </w:tc>
        <w:tc>
          <w:tcPr>
            <w:tcW w:w="287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江苏省新型功能性纺织研发与环保新工艺工程技术研究中心</w:t>
            </w:r>
          </w:p>
        </w:tc>
        <w:tc>
          <w:tcPr>
            <w:tcW w:w="382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江苏省科学技术厅</w:t>
            </w:r>
          </w:p>
        </w:tc>
        <w:tc>
          <w:tcPr>
            <w:tcW w:w="1276"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851" w:type="dxa"/>
            <w:shd w:val="clear" w:color="auto" w:fill="auto"/>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2</w:t>
            </w:r>
          </w:p>
        </w:tc>
        <w:tc>
          <w:tcPr>
            <w:tcW w:w="287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工业设计中心</w:t>
            </w:r>
          </w:p>
        </w:tc>
        <w:tc>
          <w:tcPr>
            <w:tcW w:w="382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江苏省经济和信息化委员会</w:t>
            </w:r>
          </w:p>
        </w:tc>
        <w:tc>
          <w:tcPr>
            <w:tcW w:w="1276"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851" w:type="dxa"/>
            <w:shd w:val="clear" w:color="auto" w:fill="DBE5F1"/>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3</w:t>
            </w:r>
          </w:p>
        </w:tc>
        <w:tc>
          <w:tcPr>
            <w:tcW w:w="287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企业技术中心</w:t>
            </w:r>
          </w:p>
        </w:tc>
        <w:tc>
          <w:tcPr>
            <w:tcW w:w="382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苏州市科学技术局、苏州市经济和信息化委员会</w:t>
            </w:r>
          </w:p>
        </w:tc>
        <w:tc>
          <w:tcPr>
            <w:tcW w:w="1276"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Ex>
        <w:trPr>
          <w:jc w:val="center"/>
        </w:trPr>
        <w:tc>
          <w:tcPr>
            <w:tcW w:w="851" w:type="dxa"/>
            <w:shd w:val="clear" w:color="auto" w:fill="auto"/>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4</w:t>
            </w:r>
          </w:p>
        </w:tc>
        <w:tc>
          <w:tcPr>
            <w:tcW w:w="287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江苏省企业研究生工作站</w:t>
            </w:r>
          </w:p>
        </w:tc>
        <w:tc>
          <w:tcPr>
            <w:tcW w:w="382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江苏省教育厅、江苏省科学技术厅</w:t>
            </w:r>
          </w:p>
        </w:tc>
        <w:tc>
          <w:tcPr>
            <w:tcW w:w="1276"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2012年</w:t>
            </w:r>
          </w:p>
        </w:tc>
      </w:tr>
    </w:tbl>
    <w:p>
      <w:pPr>
        <w:spacing w:line="520" w:lineRule="exact"/>
        <w:ind w:firstLine="560" w:firstLineChars="200"/>
        <w:rPr>
          <w:rFonts w:ascii="仿宋_GB2312" w:hAnsi="仿宋_GB2312" w:eastAsia="仿宋_GB2312" w:cs="仿宋_GB2312"/>
          <w:sz w:val="28"/>
          <w:szCs w:val="28"/>
        </w:rPr>
      </w:pP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2、知识产权建设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注重知识产权保护，从2002年就开始组建专职独立的知识产权管理部，经过多年的努力，制定并实施了知识产权专项战略规划，逐步制定和完善了各项知识产权管理相关制度和流程，并引进了专利领域知名的专利数据库和专利管理系统。公司还加大了企业知识产权工作的力度，强化了专利法规宣传，专利知识的普及、专利培训、专利申请与保护等工作。同时，公司对知识产权工作经费也给予保障，知识产权工作经费投入占研发投入的7%以上。该经费主要用于知识产权申报、维护；专利技术的开发与升级；知识产权数据库的建设；保障企业知识产权战略实施等。</w:t>
      </w:r>
    </w:p>
    <w:p>
      <w:pPr>
        <w:spacing w:line="520" w:lineRule="exact"/>
        <w:ind w:firstLine="560"/>
        <w:rPr>
          <w:rFonts w:hint="eastAsia" w:ascii="仿宋_GB2312" w:eastAsia="仿宋_GB2312"/>
          <w:color w:val="0070C0"/>
          <w:sz w:val="30"/>
          <w:szCs w:val="30"/>
          <w:lang w:val="en-US" w:eastAsia="zh-CN"/>
        </w:rPr>
      </w:pPr>
      <w:r>
        <w:rPr>
          <w:rFonts w:hint="eastAsia" w:ascii="仿宋_GB2312" w:eastAsia="仿宋_GB2312"/>
          <w:color w:val="0070C0"/>
          <w:sz w:val="30"/>
          <w:szCs w:val="30"/>
          <w:lang w:val="en-US" w:eastAsia="zh-CN"/>
        </w:rPr>
        <w:t>截止2018年底，公司拥有授权专利530项，其中发明专利167项，实用新型247项，外观设计116项。</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公司注重版权工作，2017年被评为全国版权示范单位。</w:t>
      </w: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3、信息化建设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坚持“以信息化带动工业化”，不断加快信息化建设步伐。东渡集团作为首批省工业互联网发展示范企业、江苏互联网与工业融合创新示范试点企业，在工业互联网方面引进了DNA生产供应链管理系统、龙盛纺织管理系统、博大MES生产执行系统、衣拿智能制衣吊挂系统等，应用实时数据库和射频识别等先进的软、硬件技术，把信息化和工业化有机融合，真正实现了对服装生产过程的执行、管理和控制，并对生产过程中的数据实时采集和发送，实现智能制造。2012年获评“江苏省信息化与工业化融合试点企业”、“江苏省五星级数字企业”；2014年获评“工业企业质量标杆”；2015年获评第一批“江苏省示范智能车间”；2016年获评“国家级两化融合贯标试点企业”、“江苏互联网与工业融合创新示范试点企业”、2018年获评“纺织行业智能制造试点示范企业”、“苏州市第一批工业互联网典型应用企业”、2019年获评首批省工业互联网发展示范企业（五星级上云企业）等荣誉称号。</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为了进一步推进企业的两化融合进程，东渡纺织集团与纺织院校和信息技术公司合作，实施DNAERP生产供应链大数据平台项目，建成一个大型信息化集成系统，覆盖了研发设计协同化、生产管控集成化、加工流程快速化、物流监控透明化、购销经营平台化、制造服务网络化等关键业务环节，实现自原料采购、面料织造、染色、定型、制版、裁剪、缝制、后整、装箱及有关联的所有流程的信息化、智能化生产供应链管理系统。</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以先进的自动化生产制造技术与关键IT应用系统的高度集成为基础，提高已有的DNA、MES、GST、ERP等信息化系统应用效果,利用MES系统等，实现了生产供应链协同信息化、生产管理智能化、设备监控管理集中化、质量管控实时化全程化，实现订单生产过程全程管控和生产过程自动化控制，生产经营持续优化。提升了企业工业互联网研发、建设和管理水平，加快企业工业与互联网融合进程，打造了全产业链、制造全流程、产品全生命周期管控与互联网融合发展的工业互联网标杆企业，推动了制造业与互联网融合创新的新模式，加快了企业数字化、网络化、智能化转型升级步伐。</w:t>
      </w: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4、质量建设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成立之初就确立了“质量为本”、“以差异化的高质量赢取市场”的质量战略。基于在婴童装“六精六细”质量管控方面成效显著，被工信部评为“质量标杆企业”。多年来，公司持续地增加在质量管理、产品测试与产品检验方面的资源投入，目前已经形成了较为完备和卓有成效的质量管理体系。产品测试、流程管理、产品检验是德朔公司在质量管理方面的三大核心。</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的质量管理体系严格按照ISO9000标准来制定和执行，实际运行要求高于ISO9000标准。通过多年的积累，公司在质量方面运用了精益生产、6S等大量的工具方法，并始终以行业领先的竞争对手为标杆。这些工具方法充实与完善了公司原有的质量体系，并获得了实际效果。公司每年接受来自客户与第三方的各类正式审核达到近五十次，均能顺利通过，并且有为数不少的客户都对公司的质量管理体系给予较高的评价。品质管理部以外部审核为契机，尽可能将公司各个运作细节完全透明、完全真实地呈现给审核方，希望能够通过外部审核尽可能多地暴露问题，进而实施持续改善。在品质管理部实施的内部审核中，同样是尽可能多地发现问题。通过这些问题的改善来推动整个体系的持续改善。</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质量管理始于培训、终于培训。培训工作在东渡集团始终被放在重要位置。各种类型、各种层次的培训在公司内有效开展，为公司的发展、人才的培养提供了强大的支持。比如，在质量培训方面，成熟的培训课程已达到三十多门，并针对检验员建立了技能等级考核制度，通过持续的培训、考试，提高了检验员团队的检验技能。在全员培训方面，由HR培训部与品质管理部联合，开展了卓有成效的班组长培训与考核、新员工培训和常规日常培训等。通过印制各种形式的培训手册、张贴培训海报等形式，强化全员的质量意识、提示质量氛围。</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开展了多种形式、全员参与的质量改善活动。部门级的，有质量改善评选、优秀质量班组、优秀质量个人、岗位技能竞赛等；公司层面的，有多年来持续运作的“提案改善制度”，主要收集来自基层员工提报的质量改善提案，平均每年为公司创造直接经济收益数百万元，同时，提案员工也收获到了成就感与物质奖励，有力地强化了公司“持续改善”质量文化。</w:t>
      </w:r>
    </w:p>
    <w:p>
      <w:pPr>
        <w:spacing w:line="520" w:lineRule="exact"/>
        <w:ind w:firstLine="482"/>
        <w:rPr>
          <w:rFonts w:hint="eastAsia" w:ascii="方正仿宋_GBK" w:hAnsi="宋体" w:eastAsia="方正仿宋_GBK" w:cs="宋体"/>
          <w:kern w:val="0"/>
          <w:sz w:val="28"/>
          <w:szCs w:val="28"/>
          <w:u w:val="single"/>
        </w:rPr>
      </w:pPr>
    </w:p>
    <w:p>
      <w:pPr>
        <w:spacing w:line="520" w:lineRule="exact"/>
        <w:ind w:firstLine="482"/>
        <w:rPr>
          <w:rFonts w:ascii="方正仿宋_GBK" w:hAnsi="宋体" w:eastAsia="方正仿宋_GBK" w:cs="宋体"/>
          <w:kern w:val="0"/>
          <w:sz w:val="28"/>
          <w:szCs w:val="28"/>
          <w:u w:val="single"/>
        </w:rPr>
      </w:pPr>
      <w:bookmarkStart w:id="0" w:name="_GoBack"/>
      <w:bookmarkEnd w:id="0"/>
      <w:r>
        <w:rPr>
          <w:rFonts w:hint="eastAsia" w:ascii="方正仿宋_GBK" w:hAnsi="宋体" w:eastAsia="方正仿宋_GBK" w:cs="宋体"/>
          <w:kern w:val="0"/>
          <w:sz w:val="28"/>
          <w:szCs w:val="28"/>
          <w:u w:val="single"/>
        </w:rPr>
        <w:t>绿色</w:t>
      </w:r>
      <w:r>
        <w:rPr>
          <w:rFonts w:hint="eastAsia" w:ascii="方正仿宋_GBK" w:hAnsi="宋体" w:eastAsia="方正仿宋_GBK" w:cs="宋体"/>
          <w:kern w:val="0"/>
          <w:sz w:val="28"/>
          <w:szCs w:val="28"/>
          <w:u w:val="single"/>
          <w:lang w:val="en-US" w:eastAsia="zh-CN"/>
        </w:rPr>
        <w:t>东渡</w:t>
      </w:r>
      <w:r>
        <w:rPr>
          <w:rFonts w:hint="eastAsia" w:ascii="方正仿宋_GBK" w:hAnsi="宋体" w:eastAsia="方正仿宋_GBK" w:cs="宋体"/>
          <w:kern w:val="0"/>
          <w:sz w:val="28"/>
          <w:szCs w:val="28"/>
          <w:u w:val="single"/>
        </w:rPr>
        <w:t>——建设美丽江苏</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生态环境是大自然赐予的绿色财富，是人类赖以生存发展的基础。</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以成为切实履行企业公民责任方面的领先者为目标，东渡始终秉持着“绿色、低碳、循环”的发展理念。</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坚持贯彻科学发展观，坚定不移地走新型工业化道路，坚持“遵守法规、保护环境、预防污染、节约能源、持续上进”的环境方针，确保质量管理体系、环境管理体系、职业健康管理体系和企业标准化综合管理体系有效运行，加强技术创新，推行清洁生产，积极采用新设备、新工艺、新技术、新材料，推进以节能减排和环保技术进步为主要目标的设备更新和技术改造，以尽可能少的资源消耗和环境占用获得最大的经济效益和社会效益。</w:t>
      </w:r>
    </w:p>
    <w:p>
      <w:pPr>
        <w:spacing w:line="520" w:lineRule="exact"/>
        <w:ind w:firstLine="560"/>
        <w:rPr>
          <w:rFonts w:hint="eastAsia" w:ascii="仿宋_GB2312" w:eastAsia="仿宋_GB2312"/>
          <w:sz w:val="30"/>
          <w:szCs w:val="30"/>
          <w:lang w:val="zh-CN" w:eastAsia="zh-CN"/>
        </w:rPr>
      </w:pPr>
      <w:r>
        <w:rPr>
          <w:rFonts w:hint="eastAsia" w:ascii="仿宋_GB2312" w:eastAsia="仿宋_GB2312"/>
          <w:sz w:val="30"/>
          <w:szCs w:val="30"/>
          <w:lang w:val="zh-CN" w:eastAsia="zh-CN"/>
        </w:rPr>
        <w:t>江苏东渡纺织集团作为全国针织行业龙头企业、江苏省服装出口基地主要企业，积极响应政府号召，开展绿色领导者创建工作，始终坚持科学发展观的先进理念，把环保先行、环保优先作为企业生命线放在企业各项工作的首位，高度重视对环境的保护和资源循环利用;高度重视企业与社会、自然的和谐发展，正是在这样的经营理念指导下，东渡集团取得了快速发展，其生产销售规模、科研创新能力、环境保护水平得到了显著提升，先后获批减排先进单位、全国纺织印染行业节能减排优秀技术创新成果三等奖、环境优化▪节能减排优秀企业、十佳科技创新企业，2011年通过清洁生产审核验收，2012年获批资源节约型企业、连续式印染污泥无害化处理及资源化利用技术获批张家港市科学技术进步奖一等奖、江苏纺织技术创新奖，2014年被评为安全生产标准化二级企业（纺织服装）、能效之星四星级企业、苏州市工业循环经济示范企业。</w:t>
      </w:r>
    </w:p>
    <w:p>
      <w:pPr>
        <w:spacing w:line="520" w:lineRule="exact"/>
        <w:ind w:firstLine="560"/>
        <w:rPr>
          <w:rFonts w:hint="eastAsia" w:ascii="仿宋_GB2312" w:eastAsia="仿宋_GB2312"/>
          <w:sz w:val="30"/>
          <w:szCs w:val="30"/>
          <w:lang w:val="zh-CN" w:eastAsia="zh-CN"/>
        </w:rPr>
      </w:pPr>
      <w:r>
        <w:rPr>
          <w:rFonts w:hint="eastAsia" w:ascii="仿宋_GB2312" w:eastAsia="仿宋_GB2312"/>
          <w:sz w:val="30"/>
          <w:szCs w:val="30"/>
          <w:lang w:val="en-US" w:eastAsia="zh-CN"/>
        </w:rPr>
        <w:t>公司</w:t>
      </w:r>
      <w:r>
        <w:rPr>
          <w:rFonts w:hint="eastAsia" w:ascii="仿宋_GB2312" w:eastAsia="仿宋_GB2312"/>
          <w:sz w:val="30"/>
          <w:szCs w:val="30"/>
          <w:lang w:val="zh-CN" w:eastAsia="zh-CN"/>
        </w:rPr>
        <w:t>从节水、节能等角度全方位制定了详细的节能降耗方案，2014年至201</w:t>
      </w:r>
      <w:r>
        <w:rPr>
          <w:rFonts w:hint="eastAsia" w:ascii="仿宋_GB2312" w:eastAsia="仿宋_GB2312"/>
          <w:sz w:val="30"/>
          <w:szCs w:val="30"/>
          <w:lang w:val="en-US" w:eastAsia="zh-CN"/>
        </w:rPr>
        <w:t>8</w:t>
      </w:r>
      <w:r>
        <w:rPr>
          <w:rFonts w:hint="eastAsia" w:ascii="仿宋_GB2312" w:eastAsia="仿宋_GB2312"/>
          <w:sz w:val="30"/>
          <w:szCs w:val="30"/>
          <w:lang w:val="zh-CN" w:eastAsia="zh-CN"/>
        </w:rPr>
        <w:t>年实施了众多节能技改项目，包括印染污泥无害化处理及全部资源化利用关键技术、污水处理DCS中控与升级改造、定型机余热回收、烟气处理系统脱硫脱硝等技术改造项目，通过这些节能降耗技术改造，对提高公司产品质量、产量和节能降耗、减排增效等有显著效果，有助于企业树立良好的社会责任形象，增强企业的软实力。</w:t>
      </w:r>
    </w:p>
    <w:p>
      <w:pPr>
        <w:spacing w:line="560" w:lineRule="exact"/>
        <w:ind w:firstLine="602" w:firstLineChars="200"/>
        <w:rPr>
          <w:rFonts w:hint="eastAsia" w:ascii="仿宋_GB2312" w:eastAsia="仿宋_GB2312"/>
          <w:sz w:val="30"/>
          <w:szCs w:val="30"/>
          <w:lang w:val="zh-CN" w:eastAsia="zh-CN"/>
        </w:rPr>
      </w:pPr>
      <w:r>
        <w:rPr>
          <w:rFonts w:hint="eastAsia" w:ascii="仿宋_GB2312" w:eastAsia="仿宋_GB2312"/>
          <w:b/>
          <w:sz w:val="30"/>
          <w:szCs w:val="30"/>
        </w:rPr>
        <w:t>印染污泥无害化处理及全部资源化利用关键技术项目。</w:t>
      </w:r>
      <w:r>
        <w:rPr>
          <w:rFonts w:hint="eastAsia" w:ascii="仿宋_GB2312" w:eastAsia="仿宋_GB2312"/>
          <w:sz w:val="30"/>
          <w:szCs w:val="30"/>
        </w:rPr>
        <w:t>根</w:t>
      </w:r>
      <w:r>
        <w:rPr>
          <w:rFonts w:hint="eastAsia" w:ascii="仿宋_GB2312" w:eastAsia="仿宋_GB2312"/>
          <w:sz w:val="30"/>
          <w:szCs w:val="30"/>
          <w:lang w:val="zh-CN" w:eastAsia="zh-CN"/>
        </w:rPr>
        <w:t>据污水处理中心的污泥产生量和锅炉余热情况，自行设计一套合理有效的污泥干化处理设备对印染污泥进行干化处理。实现个污泥干化过程的连续化，取消污泥堆场预处理工序，直接将污水处理后的浓缩印染污泥通过污泥泵导入脱水装置脱水后连续进入旋转闪蒸干燥机中一步完成干燥，实现了印染污泥处理技术的连续化，生产强度高，节省占地面积，彻底杜绝未经处理的印染污泥对环境造成的污染，同时淘汰污泥外运填埋的传统处置方式，环保安全，达到了印染污泥 “零排放” 和100%资源化利用的环保目标。</w:t>
      </w:r>
    </w:p>
    <w:p>
      <w:pPr>
        <w:spacing w:line="560" w:lineRule="exact"/>
        <w:ind w:firstLine="602" w:firstLineChars="200"/>
        <w:rPr>
          <w:rFonts w:ascii="仿宋_GB2312" w:eastAsia="仿宋_GB2312"/>
          <w:sz w:val="30"/>
          <w:szCs w:val="30"/>
        </w:rPr>
      </w:pPr>
      <w:r>
        <w:rPr>
          <w:rFonts w:hint="eastAsia" w:ascii="仿宋_GB2312" w:eastAsia="仿宋_GB2312"/>
          <w:b/>
          <w:sz w:val="30"/>
          <w:szCs w:val="30"/>
        </w:rPr>
        <w:t>污水处理DCS中控与升级改造项目。</w:t>
      </w:r>
      <w:r>
        <w:rPr>
          <w:rFonts w:hint="eastAsia" w:ascii="仿宋_GB2312" w:eastAsia="仿宋_GB2312"/>
          <w:sz w:val="30"/>
          <w:szCs w:val="30"/>
        </w:rPr>
        <w:t>新增DCS系统，对污水处理系统设施运行参数进行全流程、信息化监控，优化运行效率；磁悬浮离心式鼓风机、污水处理升级改造为染色废水清污分流、热能回收项目配套，届时染色后浓污水热能回收后可减少蒸汽使用20%，浓污水强化处理，清污水处理后回用于生产，即可降低排污量还能减少取水量；购置桨叶干燥机、污泥带式输送机，污泥烘干后混入煤炭，进入锅炉燃烧室，因烘干后的污泥有很大的燃烧值，一方面减少了燃料（煤炭）的量，减少了企业的能源成本；更主要的是杜绝了污泥外运再处理，保证了环保零污染。</w:t>
      </w:r>
    </w:p>
    <w:p>
      <w:pPr>
        <w:spacing w:line="560" w:lineRule="exact"/>
        <w:ind w:firstLine="602" w:firstLineChars="200"/>
        <w:rPr>
          <w:rFonts w:hint="eastAsia" w:ascii="仿宋_GB2312" w:eastAsia="仿宋_GB2312"/>
          <w:sz w:val="30"/>
          <w:szCs w:val="30"/>
        </w:rPr>
      </w:pPr>
      <w:r>
        <w:rPr>
          <w:rFonts w:hint="eastAsia" w:ascii="仿宋_GB2312" w:eastAsia="仿宋_GB2312"/>
          <w:b/>
          <w:sz w:val="30"/>
          <w:szCs w:val="30"/>
        </w:rPr>
        <w:t>定型机余热回收改造项目。</w:t>
      </w:r>
      <w:r>
        <w:rPr>
          <w:rFonts w:hint="eastAsia" w:ascii="仿宋_GB2312" w:eastAsia="仿宋_GB2312"/>
          <w:sz w:val="30"/>
          <w:szCs w:val="30"/>
        </w:rPr>
        <w:t>本项目采用机械过滤</w:t>
      </w:r>
      <w:r>
        <w:rPr>
          <w:rFonts w:ascii="仿宋_GB2312" w:eastAsia="仿宋_GB2312"/>
          <w:sz w:val="30"/>
          <w:szCs w:val="30"/>
        </w:rPr>
        <w:t>+</w:t>
      </w:r>
      <w:r>
        <w:rPr>
          <w:rFonts w:hint="eastAsia" w:ascii="仿宋_GB2312" w:eastAsia="仿宋_GB2312"/>
          <w:sz w:val="30"/>
          <w:szCs w:val="30"/>
        </w:rPr>
        <w:t>静电除尘的方式，将定型机高温烟气降温后进行颗粒物、油烟去除，同时进行热能回收。我司分别购进</w:t>
      </w:r>
      <w:r>
        <w:rPr>
          <w:rFonts w:ascii="仿宋_GB2312" w:eastAsia="仿宋_GB2312"/>
          <w:sz w:val="30"/>
          <w:szCs w:val="30"/>
        </w:rPr>
        <w:t>4</w:t>
      </w:r>
      <w:r>
        <w:rPr>
          <w:rFonts w:hint="eastAsia" w:ascii="仿宋_GB2312" w:eastAsia="仿宋_GB2312"/>
          <w:sz w:val="30"/>
          <w:szCs w:val="30"/>
        </w:rPr>
        <w:t>组套定型机尾气余热回收系统和净化装置，以</w:t>
      </w:r>
      <w:r>
        <w:rPr>
          <w:rFonts w:ascii="仿宋_GB2312" w:eastAsia="仿宋_GB2312"/>
          <w:sz w:val="30"/>
          <w:szCs w:val="30"/>
        </w:rPr>
        <w:t>1</w:t>
      </w:r>
      <w:r>
        <w:rPr>
          <w:rFonts w:hint="eastAsia" w:ascii="仿宋_GB2312" w:eastAsia="仿宋_GB2312"/>
          <w:sz w:val="30"/>
          <w:szCs w:val="30"/>
        </w:rPr>
        <w:t>拖</w:t>
      </w:r>
      <w:r>
        <w:rPr>
          <w:rFonts w:ascii="仿宋_GB2312" w:eastAsia="仿宋_GB2312"/>
          <w:sz w:val="30"/>
          <w:szCs w:val="30"/>
        </w:rPr>
        <w:t>2</w:t>
      </w:r>
      <w:r>
        <w:rPr>
          <w:rFonts w:hint="eastAsia" w:ascii="仿宋_GB2312" w:eastAsia="仿宋_GB2312"/>
          <w:sz w:val="30"/>
          <w:szCs w:val="30"/>
        </w:rPr>
        <w:t>的形式对</w:t>
      </w:r>
      <w:r>
        <w:rPr>
          <w:rFonts w:ascii="仿宋_GB2312" w:eastAsia="仿宋_GB2312"/>
          <w:sz w:val="30"/>
          <w:szCs w:val="30"/>
        </w:rPr>
        <w:t>8</w:t>
      </w:r>
      <w:r>
        <w:rPr>
          <w:rFonts w:hint="eastAsia" w:ascii="仿宋_GB2312" w:eastAsia="仿宋_GB2312"/>
          <w:sz w:val="30"/>
          <w:szCs w:val="30"/>
        </w:rPr>
        <w:t>台定型机分期安装。将废气经过水喷淋系统进行预处理，过滤出废气中的棉絮及大颗粒物。经过过滤后的废气进入净化器的冷却装置，该冷却装置采用气水冷却，把废气冷却至</w:t>
      </w:r>
      <w:r>
        <w:rPr>
          <w:rFonts w:ascii="仿宋_GB2312" w:eastAsia="仿宋_GB2312"/>
          <w:sz w:val="30"/>
          <w:szCs w:val="30"/>
        </w:rPr>
        <w:t>60</w:t>
      </w:r>
      <w:r>
        <w:rPr>
          <w:rFonts w:hint="eastAsia" w:ascii="仿宋_GB2312" w:eastAsia="仿宋_GB2312"/>
          <w:sz w:val="30"/>
          <w:szCs w:val="30"/>
        </w:rPr>
        <w:t>度以下，以便达到最佳静电效果。之后的废气进入静电区域进行净化处理，分离出废气中的油，除去废气中的异味，净化后的尾气经</w:t>
      </w:r>
      <w:r>
        <w:rPr>
          <w:rFonts w:ascii="仿宋_GB2312" w:eastAsia="仿宋_GB2312"/>
          <w:sz w:val="30"/>
          <w:szCs w:val="30"/>
        </w:rPr>
        <w:t>4</w:t>
      </w:r>
      <w:r>
        <w:rPr>
          <w:rFonts w:hint="eastAsia" w:ascii="仿宋_GB2312" w:eastAsia="仿宋_GB2312"/>
          <w:sz w:val="30"/>
          <w:szCs w:val="30"/>
        </w:rPr>
        <w:t>台大风量离心风机排出室外。经过气水冷却出来得到</w:t>
      </w:r>
      <w:r>
        <w:rPr>
          <w:rFonts w:ascii="仿宋_GB2312" w:eastAsia="仿宋_GB2312"/>
          <w:sz w:val="30"/>
          <w:szCs w:val="30"/>
        </w:rPr>
        <w:t>50</w:t>
      </w:r>
      <w:r>
        <w:rPr>
          <w:rFonts w:hint="eastAsia" w:ascii="仿宋_GB2312" w:eastAsia="仿宋_GB2312"/>
          <w:sz w:val="30"/>
          <w:szCs w:val="30"/>
        </w:rPr>
        <w:t>度左右热水，每日产量约</w:t>
      </w:r>
      <w:r>
        <w:rPr>
          <w:rFonts w:ascii="仿宋_GB2312" w:eastAsia="仿宋_GB2312"/>
          <w:sz w:val="30"/>
          <w:szCs w:val="30"/>
        </w:rPr>
        <w:t>600</w:t>
      </w:r>
      <w:r>
        <w:rPr>
          <w:rFonts w:hint="eastAsia" w:ascii="仿宋_GB2312" w:eastAsia="仿宋_GB2312"/>
          <w:sz w:val="30"/>
          <w:szCs w:val="30"/>
        </w:rPr>
        <w:t>吨，回用到染色生产环节中，循环使用，节能显著，也无二次污染物产生。</w:t>
      </w:r>
    </w:p>
    <w:p>
      <w:pPr>
        <w:spacing w:line="56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本项目是余热回收利用与改善生产和工作环境的多收益工程，对提高产品质量、产量和节能降耗、减排增效等有显著效果。</w:t>
      </w:r>
    </w:p>
    <w:p>
      <w:pPr>
        <w:spacing w:line="560" w:lineRule="exact"/>
        <w:ind w:firstLine="602" w:firstLineChars="200"/>
        <w:rPr>
          <w:rFonts w:hint="eastAsia" w:ascii="仿宋_GB2312" w:eastAsia="仿宋_GB2312"/>
          <w:sz w:val="30"/>
          <w:szCs w:val="30"/>
        </w:rPr>
      </w:pPr>
      <w:r>
        <w:rPr>
          <w:rFonts w:hint="eastAsia" w:ascii="仿宋_GB2312" w:eastAsia="仿宋_GB2312"/>
          <w:b/>
          <w:sz w:val="30"/>
          <w:szCs w:val="30"/>
        </w:rPr>
        <w:t>烟气处理系统脱硫脱硝技术改造项目。</w:t>
      </w:r>
      <w:r>
        <w:rPr>
          <w:rFonts w:hint="eastAsia" w:ascii="仿宋_GB2312" w:eastAsia="仿宋_GB2312"/>
          <w:sz w:val="30"/>
          <w:szCs w:val="30"/>
        </w:rPr>
        <w:t>本项目新建布袋除尘系统，烟气由锅炉经过现有余热回收系统，进入布袋除尘系统，再通过风机增压进入净化一体化设备，经净化设备后烟气进原烟囱进行排放，整个系统运行过程采用在线连续监测设备进行实时监控；通过多个净化单元的组合，采用同时脱硫脱硝的净化方式，实现烟气硫、硝的同步净化，最终实现脱硫98%以上，氮氧化合物脱除率70%以上。</w:t>
      </w:r>
    </w:p>
    <w:p>
      <w:pPr>
        <w:tabs>
          <w:tab w:val="left" w:pos="2694"/>
        </w:tabs>
        <w:adjustRightInd w:val="0"/>
        <w:snapToGrid w:val="0"/>
        <w:spacing w:line="560" w:lineRule="exact"/>
        <w:ind w:firstLine="602" w:firstLineChars="200"/>
        <w:contextualSpacing/>
        <w:rPr>
          <w:rFonts w:hint="eastAsia" w:ascii="仿宋_GB2312" w:eastAsia="仿宋_GB2312"/>
          <w:sz w:val="30"/>
          <w:szCs w:val="30"/>
        </w:rPr>
      </w:pPr>
      <w:r>
        <w:rPr>
          <w:rFonts w:hint="eastAsia" w:ascii="仿宋_GB2312" w:eastAsia="仿宋_GB2312"/>
          <w:b/>
          <w:bCs/>
          <w:sz w:val="30"/>
          <w:szCs w:val="30"/>
        </w:rPr>
        <w:t>研发</w:t>
      </w:r>
      <w:r>
        <w:rPr>
          <w:rFonts w:hint="eastAsia" w:ascii="仿宋_GB2312" w:eastAsia="仿宋_GB2312"/>
          <w:b/>
          <w:bCs/>
          <w:sz w:val="30"/>
          <w:szCs w:val="30"/>
          <w:lang w:val="en-US" w:eastAsia="zh-CN"/>
        </w:rPr>
        <w:t>高效连续针织物废水回用工艺</w:t>
      </w:r>
      <w:r>
        <w:rPr>
          <w:rFonts w:hint="eastAsia" w:ascii="仿宋_GB2312" w:eastAsia="仿宋_GB2312"/>
          <w:b/>
          <w:bCs/>
          <w:sz w:val="30"/>
          <w:szCs w:val="30"/>
        </w:rPr>
        <w:t>，从技术上节能减排</w:t>
      </w:r>
      <w:r>
        <w:rPr>
          <w:rFonts w:hint="eastAsia" w:ascii="仿宋_GB2312" w:eastAsia="仿宋_GB2312"/>
          <w:b/>
          <w:bCs/>
          <w:sz w:val="30"/>
          <w:szCs w:val="30"/>
          <w:lang w:eastAsia="zh-CN"/>
        </w:rPr>
        <w:t>。</w:t>
      </w:r>
      <w:r>
        <w:rPr>
          <w:rFonts w:hint="eastAsia" w:ascii="仿宋_GB2312" w:eastAsia="仿宋_GB2312"/>
          <w:sz w:val="30"/>
          <w:szCs w:val="30"/>
        </w:rPr>
        <w:t>在针织物整个印染生产过程中，针织物在前处理、染色、印花、后整理工艺中，前处理工艺处于重中之重的地位，是针织物染色、印花、后整理的基础。现阶段在这个前处理的工序中，需要使用大量化学助剂，该环节需要工人将烧碱、双氧水、双氧水稳定剂、精炼剂、渗透剂、去油剂、螯合剂等等大量、繁多的化学助剂逐一投放在水中，配制成前处理工作液（行业称为：前处理工艺处方），然后对针织物进行煮练，煮练后的水称为“废水”放掉不能回用，这一环节被称为是纺织行业的化工厂。前处理工艺废水有害物质排放量最大，占染整企业的70-80%，是染整企业的主要排污源，也是环保监控的主要治理目标，它既造成了环境污染，又浪费了水资源。</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我公司针对现有技术的缺陷，开发了针织物连续前处理废水回用系统，采用卜公茶皂素作为前处理助剂，前处理工艺后产生的废水不要排放，经过过滤纤维素等杂质后，再回用于针织物印染前处理工序，这样不仅可以满足织物染色质量要求，还可降低生产成本，更重要的是可以减少新鲜水的用量和</w:t>
      </w:r>
      <w:r>
        <w:rPr>
          <w:rFonts w:hint="eastAsia" w:ascii="仿宋_GB2312" w:eastAsia="仿宋_GB2312"/>
          <w:sz w:val="30"/>
          <w:szCs w:val="30"/>
          <w:lang w:eastAsia="zh-CN"/>
        </w:rPr>
        <w:t>减少</w:t>
      </w:r>
      <w:r>
        <w:rPr>
          <w:rFonts w:hint="eastAsia" w:ascii="仿宋_GB2312" w:eastAsia="仿宋_GB2312"/>
          <w:sz w:val="30"/>
          <w:szCs w:val="30"/>
        </w:rPr>
        <w:t>废水排放，对减轻环境污染，缓解水资源短缺问题，具有重要的现实意义。</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茶皂素是一种针对印染行业的痛点而研发、实施并已应用技术成熟的高新技术产品，可以有效替代传统印染生产中的烧碱等各种化学助剂，一剂成型、短流程完成印染前处理生产任务，无需另外使用化学助剂，减少了化学品的使用，且茶皂素具备螯合水中钙、镁及金属离子、降低水硬度等作用，大大减小了废水处理的难度，使前处理废水经过滤装置过滤纤维素等杂质后，补充新助剂，即可回用于针织物前处理工序。</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染缸煮布每吨布用48吨水，使用平幅煮布机后每吨布用2吨水，每吨布节约46吨水，按照每天10吨产量，每年生产天数300天计算，则每天节约10×46=460吨水，每年节约用水460×300=138000吨水，若水费按5.3元/吨计，每年节约费用：81000×3.6 =731400元。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染缸煮布每吨布用3.8吨蒸汽，使用平幅煮布机后每吨布用1.2吨蒸汽，每吨布节约2.6吨蒸汽，按照每天10吨产量，每年生产天数300天计算，则每天节约10×2.6=26吨蒸汽，每年节约用蒸汽26×300=7800吨蒸汽，蒸汽费189元/吨，每年节约费用：7800×189=1474200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综合水、电、蒸汽、助剂来看，染缸煮布每吨布成本1312元，连续煮布机煮布每吨布成本1005.6元。按一天生产10吨布，一年生产300天，则连续煮布机与染缸相比每年节约费用：（1312-1005.6）×10×300=919200元。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针织物连续前处理废水回用系统在节能降耗方面比传统染缸煮布降低成本在20%左右，在生产耗时方面节约了20%左右；在品质方面得到全面控制，如浸染缸内造成布面折痕，煮布黄白，爆破差等现象，连续煮布机已基本解决此类问题，并提升了品质，为染缸提升了染色效率。这项新技术的改进，使织物染色化学品用量较原工艺减少了50%，降低水耗96%，减少蒸汽耗用60%，</w:t>
      </w:r>
      <w:r>
        <w:rPr>
          <w:rFonts w:hint="eastAsia" w:ascii="仿宋_GB2312" w:eastAsia="仿宋_GB2312"/>
          <w:sz w:val="30"/>
          <w:szCs w:val="30"/>
          <w:lang w:eastAsia="zh-CN"/>
        </w:rPr>
        <w:t>节水</w:t>
      </w:r>
      <w:r>
        <w:rPr>
          <w:rFonts w:hint="eastAsia" w:ascii="仿宋_GB2312" w:eastAsia="仿宋_GB2312"/>
          <w:sz w:val="30"/>
          <w:szCs w:val="30"/>
          <w:lang w:val="en-US" w:eastAsia="zh-CN"/>
        </w:rPr>
        <w:t>95%，</w:t>
      </w:r>
      <w:r>
        <w:rPr>
          <w:rFonts w:hint="eastAsia" w:ascii="仿宋_GB2312" w:eastAsia="仿宋_GB2312"/>
          <w:sz w:val="30"/>
          <w:szCs w:val="30"/>
        </w:rPr>
        <w:t>减少了</w:t>
      </w:r>
      <w:r>
        <w:rPr>
          <w:rFonts w:hint="eastAsia" w:ascii="仿宋_GB2312" w:eastAsia="仿宋_GB2312"/>
          <w:sz w:val="30"/>
          <w:szCs w:val="30"/>
          <w:lang w:eastAsia="zh-CN"/>
        </w:rPr>
        <w:t>废水</w:t>
      </w:r>
      <w:r>
        <w:rPr>
          <w:rFonts w:hint="eastAsia" w:ascii="仿宋_GB2312" w:eastAsia="仿宋_GB2312"/>
          <w:sz w:val="30"/>
          <w:szCs w:val="30"/>
        </w:rPr>
        <w:t>COD</w:t>
      </w:r>
      <w:r>
        <w:rPr>
          <w:rFonts w:hint="eastAsia" w:ascii="仿宋_GB2312" w:eastAsia="仿宋_GB2312"/>
          <w:sz w:val="30"/>
          <w:szCs w:val="30"/>
          <w:lang w:eastAsia="zh-CN"/>
        </w:rPr>
        <w:t>排放</w:t>
      </w:r>
      <w:r>
        <w:rPr>
          <w:rFonts w:hint="eastAsia" w:ascii="仿宋_GB2312" w:eastAsia="仿宋_GB2312"/>
          <w:sz w:val="30"/>
          <w:szCs w:val="30"/>
          <w:lang w:val="en-US" w:eastAsia="zh-CN"/>
        </w:rPr>
        <w:t>20%</w:t>
      </w:r>
      <w:r>
        <w:rPr>
          <w:rFonts w:hint="eastAsia" w:ascii="仿宋_GB2312" w:eastAsia="仿宋_GB2312"/>
          <w:sz w:val="30"/>
          <w:szCs w:val="30"/>
        </w:rPr>
        <w:t>。</w:t>
      </w:r>
    </w:p>
    <w:p>
      <w:pPr>
        <w:spacing w:line="560" w:lineRule="exact"/>
        <w:ind w:firstLine="600" w:firstLineChars="200"/>
        <w:jc w:val="center"/>
        <w:rPr>
          <w:rFonts w:hint="eastAsia" w:ascii="仿宋_GB2312" w:eastAsia="仿宋_GB2312"/>
          <w:color w:val="auto"/>
          <w:sz w:val="30"/>
          <w:szCs w:val="30"/>
          <w:lang w:val="en-US" w:eastAsia="zh-CN"/>
        </w:rPr>
      </w:pPr>
      <w:r>
        <w:rPr>
          <w:rFonts w:hint="eastAsia" w:ascii="仿宋_GB2312" w:eastAsia="仿宋_GB2312"/>
          <w:color w:val="auto"/>
          <w:sz w:val="30"/>
          <w:szCs w:val="30"/>
          <w:lang w:val="en-US" w:eastAsia="zh-CN"/>
        </w:rPr>
        <w:t>茶皂素和原双漂工艺COD比较</w:t>
      </w:r>
    </w:p>
    <w:tbl>
      <w:tblPr>
        <w:tblStyle w:val="17"/>
        <w:tblW w:w="750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1"/>
        <w:gridCol w:w="3420"/>
        <w:gridCol w:w="1215"/>
        <w:gridCol w:w="111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序号</w:t>
            </w:r>
          </w:p>
        </w:tc>
        <w:tc>
          <w:tcPr>
            <w:tcW w:w="34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项目</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Jul-17</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Sep-17</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Oct-17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原双漂工艺出水COD值  mg/l</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2613</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2588</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茶皂素工艺出水COD值  mg/l</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2078</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2054</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COD降低   %</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p>
        </w:tc>
      </w:tr>
    </w:tbl>
    <w:p>
      <w:pPr>
        <w:spacing w:line="560" w:lineRule="exact"/>
        <w:jc w:val="both"/>
        <w:rPr>
          <w:rFonts w:hint="eastAsia" w:ascii="仿宋_GB2312" w:eastAsia="仿宋_GB2312"/>
          <w:sz w:val="30"/>
          <w:szCs w:val="30"/>
          <w:lang w:val="en-US" w:eastAsia="zh-CN"/>
        </w:rPr>
      </w:pPr>
    </w:p>
    <w:p>
      <w:pPr>
        <w:spacing w:line="56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高效连续针织物废水回用工艺和传统工艺比较</w:t>
      </w:r>
    </w:p>
    <w:tbl>
      <w:tblPr>
        <w:tblStyle w:val="18"/>
        <w:tblpPr w:leftFromText="180" w:rightFromText="180" w:vertAnchor="text" w:horzAnchor="page" w:tblpX="1732" w:tblpY="31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380"/>
        <w:gridCol w:w="3260"/>
        <w:gridCol w:w="3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9060" w:type="dxa"/>
            <w:gridSpan w:val="4"/>
            <w:vAlign w:val="center"/>
          </w:tcPr>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表1：针织坯布（吨）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高效连续针织物废水回用工艺</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传统</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溢流缸工艺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用水量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耗电量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130KW/T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100KW/T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生产效率</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120分钟/T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170分钟/T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助剂成本</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475元/T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综合成本</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1005.6元/T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1312元/T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排污量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不排污水，循环回用</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不能回用，未计算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CODppm</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前处理水回用，不排COD</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产品质量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手感软，顶破强力好，损耗低</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手感较硬，顶破强力稍差，损耗大</w:t>
            </w:r>
          </w:p>
        </w:tc>
      </w:tr>
    </w:tbl>
    <w:p>
      <w:pPr>
        <w:spacing w:line="560" w:lineRule="exact"/>
        <w:ind w:firstLine="600" w:firstLineChars="200"/>
        <w:rPr>
          <w:rFonts w:hint="eastAsia" w:ascii="仿宋_GB2312" w:eastAsia="仿宋_GB2312"/>
          <w:sz w:val="30"/>
          <w:szCs w:val="30"/>
        </w:rPr>
      </w:pPr>
    </w:p>
    <w:p>
      <w:pPr>
        <w:spacing w:line="560" w:lineRule="exact"/>
        <w:ind w:firstLine="602" w:firstLineChars="200"/>
        <w:rPr>
          <w:rFonts w:hint="eastAsia" w:ascii="仿宋_GB2312" w:eastAsia="仿宋_GB2312"/>
          <w:sz w:val="30"/>
          <w:szCs w:val="30"/>
        </w:rPr>
      </w:pPr>
      <w:r>
        <w:rPr>
          <w:rFonts w:hint="eastAsia" w:ascii="仿宋_GB2312" w:eastAsia="仿宋_GB2312"/>
          <w:b/>
          <w:bCs/>
          <w:sz w:val="30"/>
          <w:szCs w:val="30"/>
        </w:rPr>
        <w:t>染化料助剂自动输送系统。</w:t>
      </w:r>
      <w:r>
        <w:rPr>
          <w:rFonts w:hint="eastAsia" w:ascii="仿宋_GB2312" w:eastAsia="仿宋_GB2312"/>
          <w:sz w:val="30"/>
          <w:szCs w:val="30"/>
        </w:rPr>
        <w:t>该系统具有染料、助剂的化料、上料、称量、自动输送、助剂浓度的在线检测等功能同时附带有与染料化料配套的自动或半自动称粉系统，实现了印染前处理、染色、后整理等工序的染料、助剂的自动称量、配送、实时检测与控制、生产数据的实时记录与在线管理等各项功能。</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严格精准执行生产工艺，取代传统人工称量，杜绝人工操作的偏差实现染料、助剂的自动称料、自动输送、助剂浓度的在线检测等功能，高产品一次合格率，减少回染率，减少能耗及排污，生产效率提高30%。</w:t>
      </w:r>
    </w:p>
    <w:p>
      <w:pPr>
        <w:spacing w:line="560" w:lineRule="exact"/>
        <w:ind w:firstLine="3012" w:firstLineChars="1000"/>
        <w:jc w:val="both"/>
        <w:rPr>
          <w:rFonts w:hint="eastAsia" w:ascii="仿宋_GB2312" w:eastAsia="仿宋_GB2312"/>
          <w:sz w:val="30"/>
          <w:szCs w:val="30"/>
          <w:lang w:val="en-US" w:eastAsia="zh-CN"/>
        </w:rPr>
      </w:pPr>
      <w:r>
        <w:rPr>
          <w:rFonts w:hint="eastAsia" w:ascii="仿宋_GB2312" w:eastAsia="仿宋_GB2312"/>
          <w:b/>
          <w:bCs/>
          <w:sz w:val="30"/>
          <w:szCs w:val="30"/>
          <w:lang w:eastAsia="zh-CN"/>
        </w:rPr>
        <w:t>节能减排效果分析</w:t>
      </w:r>
    </w:p>
    <w:tbl>
      <w:tblPr>
        <w:tblStyle w:val="17"/>
        <w:tblW w:w="8429" w:type="dxa"/>
        <w:tblInd w:w="93" w:type="dxa"/>
        <w:tblLayout w:type="fixed"/>
        <w:tblCellMar>
          <w:top w:w="0" w:type="dxa"/>
          <w:left w:w="108" w:type="dxa"/>
          <w:bottom w:w="0" w:type="dxa"/>
          <w:right w:w="108" w:type="dxa"/>
        </w:tblCellMar>
      </w:tblPr>
      <w:tblGrid>
        <w:gridCol w:w="866"/>
        <w:gridCol w:w="2268"/>
        <w:gridCol w:w="992"/>
        <w:gridCol w:w="992"/>
        <w:gridCol w:w="851"/>
        <w:gridCol w:w="1134"/>
        <w:gridCol w:w="1326"/>
      </w:tblGrid>
      <w:tr>
        <w:tblPrEx>
          <w:tblLayout w:type="fixed"/>
          <w:tblCellMar>
            <w:top w:w="0" w:type="dxa"/>
            <w:left w:w="108" w:type="dxa"/>
            <w:bottom w:w="0" w:type="dxa"/>
            <w:right w:w="108" w:type="dxa"/>
          </w:tblCellMar>
        </w:tblPrEx>
        <w:trPr>
          <w:trHeight w:val="634" w:hRule="atLeast"/>
        </w:trPr>
        <w:tc>
          <w:tcPr>
            <w:tcW w:w="866"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2268"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w:t>
            </w:r>
          </w:p>
        </w:tc>
        <w:tc>
          <w:tcPr>
            <w:tcW w:w="5295"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节能减排数据</w:t>
            </w:r>
            <w:r>
              <w:rPr>
                <w:rFonts w:hint="eastAsia" w:ascii="宋体" w:hAnsi="宋体" w:cs="宋体"/>
                <w:color w:val="000000"/>
                <w:kern w:val="0"/>
                <w:sz w:val="22"/>
                <w:szCs w:val="22"/>
                <w:lang w:eastAsia="zh-CN"/>
              </w:rPr>
              <w:t>（吨）</w:t>
            </w:r>
          </w:p>
        </w:tc>
      </w:tr>
      <w:tr>
        <w:tblPrEx>
          <w:tblLayout w:type="fixed"/>
          <w:tblCellMar>
            <w:top w:w="0" w:type="dxa"/>
            <w:left w:w="108" w:type="dxa"/>
            <w:bottom w:w="0" w:type="dxa"/>
            <w:right w:w="108" w:type="dxa"/>
          </w:tblCellMar>
        </w:tblPrEx>
        <w:trPr>
          <w:trHeight w:val="270" w:hRule="atLeast"/>
        </w:trPr>
        <w:tc>
          <w:tcPr>
            <w:tcW w:w="86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2268"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标煤量</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颗粒物</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TVOC</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二氧化硫</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氮氧化物</w:t>
            </w:r>
          </w:p>
        </w:tc>
      </w:tr>
      <w:tr>
        <w:tblPrEx>
          <w:tblLayout w:type="fixed"/>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污水处理DCS中控与升级改造项目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81.6</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定型机余热回收改造项目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362.6</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0.02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烟气处理系统脱硫脱硝技术改造项目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8.36</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26.13</w:t>
            </w:r>
          </w:p>
        </w:tc>
      </w:tr>
      <w:tr>
        <w:tblPrEx>
          <w:tblLayout w:type="fixed"/>
          <w:tblCellMar>
            <w:top w:w="0" w:type="dxa"/>
            <w:left w:w="108" w:type="dxa"/>
            <w:bottom w:w="0" w:type="dxa"/>
            <w:right w:w="108" w:type="dxa"/>
          </w:tblCellMar>
        </w:tblPrEx>
        <w:trPr>
          <w:trHeight w:val="49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22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444.2</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0.02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8.36</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26.13</w:t>
            </w:r>
          </w:p>
        </w:tc>
      </w:tr>
    </w:tbl>
    <w:p>
      <w:pPr>
        <w:spacing w:line="560" w:lineRule="exact"/>
        <w:ind w:firstLine="600" w:firstLineChars="200"/>
        <w:rPr>
          <w:rFonts w:hint="eastAsia" w:ascii="仿宋_GB2312" w:eastAsia="仿宋_GB2312"/>
          <w:sz w:val="30"/>
          <w:szCs w:val="30"/>
        </w:rPr>
      </w:pPr>
    </w:p>
    <w:p>
      <w:pPr>
        <w:tabs>
          <w:tab w:val="left" w:pos="2694"/>
        </w:tabs>
        <w:adjustRightInd w:val="0"/>
        <w:snapToGrid w:val="0"/>
        <w:spacing w:line="560" w:lineRule="exact"/>
        <w:ind w:firstLine="602" w:firstLineChars="200"/>
        <w:contextualSpacing/>
        <w:rPr>
          <w:rFonts w:hint="eastAsia" w:ascii="仿宋_GB2312" w:eastAsia="仿宋_GB2312"/>
          <w:b/>
          <w:color w:val="0070C0"/>
          <w:sz w:val="30"/>
          <w:szCs w:val="30"/>
        </w:rPr>
      </w:pPr>
      <w:r>
        <w:rPr>
          <w:rFonts w:hint="eastAsia" w:ascii="仿宋_GB2312" w:eastAsia="仿宋_GB2312"/>
          <w:b/>
          <w:color w:val="0070C0"/>
          <w:sz w:val="30"/>
          <w:szCs w:val="30"/>
          <w:lang w:val="en-US" w:eastAsia="zh-CN"/>
        </w:rPr>
        <w:t>煤改气</w:t>
      </w:r>
      <w:r>
        <w:rPr>
          <w:rFonts w:hint="eastAsia" w:ascii="仿宋_GB2312" w:eastAsia="仿宋_GB2312"/>
          <w:b/>
          <w:color w:val="0070C0"/>
          <w:sz w:val="30"/>
          <w:szCs w:val="30"/>
        </w:rPr>
        <w:t>升级改造项目。</w:t>
      </w:r>
    </w:p>
    <w:p>
      <w:pPr>
        <w:spacing w:line="560" w:lineRule="exact"/>
        <w:ind w:firstLine="602" w:firstLineChars="200"/>
        <w:rPr>
          <w:rFonts w:hint="eastAsia" w:ascii="仿宋_GB2312" w:eastAsia="仿宋_GB2312"/>
          <w:b/>
          <w:bCs/>
          <w:sz w:val="30"/>
          <w:szCs w:val="30"/>
        </w:rPr>
      </w:pPr>
      <w:r>
        <w:rPr>
          <w:rFonts w:hint="eastAsia" w:ascii="仿宋_GB2312" w:eastAsia="仿宋_GB2312"/>
          <w:b/>
          <w:bCs/>
          <w:sz w:val="30"/>
          <w:szCs w:val="30"/>
        </w:rPr>
        <w:t>做好企业的节能减排工作</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大力推广节能、环保、高效的新工艺、新设备、新技术和新理念，做好高耗能技术设备的升级改造，提高生产效率，降低生产成本、减少污染排放，在增加公司经济效益的同时，兼顾社会效益的提升，切实做到绿色发展，循环发展，低碳发展。</w:t>
      </w:r>
    </w:p>
    <w:p>
      <w:pPr>
        <w:spacing w:line="560" w:lineRule="exact"/>
        <w:ind w:firstLine="602" w:firstLineChars="200"/>
        <w:rPr>
          <w:rFonts w:hint="eastAsia" w:ascii="仿宋_GB2312" w:eastAsia="仿宋_GB2312"/>
          <w:b/>
          <w:bCs/>
          <w:sz w:val="30"/>
          <w:szCs w:val="30"/>
        </w:rPr>
      </w:pPr>
      <w:r>
        <w:rPr>
          <w:rFonts w:hint="eastAsia" w:ascii="仿宋_GB2312" w:eastAsia="仿宋_GB2312"/>
          <w:b/>
          <w:bCs/>
          <w:sz w:val="30"/>
          <w:szCs w:val="30"/>
        </w:rPr>
        <w:t>做好企业的生态环境保护工作</w:t>
      </w:r>
    </w:p>
    <w:p>
      <w:pPr>
        <w:pStyle w:val="6"/>
        <w:spacing w:line="520" w:lineRule="exact"/>
        <w:rPr>
          <w:rFonts w:hint="eastAsia" w:ascii="仿宋_GB2312" w:eastAsia="仿宋_GB2312"/>
          <w:sz w:val="30"/>
          <w:szCs w:val="30"/>
        </w:rPr>
      </w:pPr>
      <w:r>
        <w:rPr>
          <w:rFonts w:hint="eastAsia" w:ascii="仿宋_GB2312" w:eastAsia="仿宋_GB2312"/>
          <w:sz w:val="30"/>
          <w:szCs w:val="30"/>
        </w:rPr>
        <w:t>首先要做好资源的优化利用。通过技术更新改造替代传统工艺和落后产能，节约有限的城市土地、能源，最大限度降低对生态环境的影响，实现经济效益和社会效益最大化。其次，创建良好的生态环境保护氛围。通过政策时势导向、企业文化渲染、职工群众向好意愿，倡导和创造科学发展、绿色健康的发展理念和工作环境，实现企业与社会、人与生态环境和自然环境的和谐共存发展。再者，形成企业生态环境保护工作长效机制，加强制度方面建设与完善，保持和延续企业生态文明建设工作的生命力。</w:t>
      </w:r>
    </w:p>
    <w:p>
      <w:pPr>
        <w:spacing w:line="560" w:lineRule="exact"/>
        <w:ind w:firstLine="600" w:firstLineChars="200"/>
        <w:rPr>
          <w:rFonts w:hint="eastAsia" w:ascii="仿宋" w:hAnsi="仿宋" w:eastAsia="仿宋"/>
          <w:b/>
          <w:bCs/>
          <w:sz w:val="30"/>
          <w:szCs w:val="30"/>
        </w:rPr>
      </w:pPr>
      <w:r>
        <w:rPr>
          <w:rFonts w:hint="eastAsia" w:ascii="仿宋_GB2312" w:eastAsia="仿宋_GB2312"/>
          <w:sz w:val="30"/>
          <w:szCs w:val="30"/>
          <w:lang w:val="en-US" w:eastAsia="zh-CN"/>
        </w:rPr>
        <w:t xml:space="preserve">   </w:t>
      </w:r>
      <w:r>
        <w:rPr>
          <w:rFonts w:hint="eastAsia" w:ascii="仿宋" w:hAnsi="仿宋" w:eastAsia="仿宋"/>
          <w:b/>
          <w:bCs/>
          <w:sz w:val="30"/>
          <w:szCs w:val="30"/>
        </w:rPr>
        <w:t>建立生态绩效考核机制</w:t>
      </w:r>
    </w:p>
    <w:p>
      <w:pPr>
        <w:spacing w:line="560" w:lineRule="exact"/>
        <w:ind w:firstLine="640"/>
        <w:rPr>
          <w:rFonts w:hint="eastAsia" w:ascii="仿宋_GB2312" w:eastAsia="仿宋_GB2312"/>
          <w:sz w:val="30"/>
          <w:szCs w:val="30"/>
        </w:rPr>
      </w:pPr>
      <w:r>
        <w:rPr>
          <w:rFonts w:hint="eastAsia" w:ascii="仿宋_GB2312" w:eastAsia="仿宋_GB2312"/>
          <w:sz w:val="30"/>
          <w:szCs w:val="30"/>
        </w:rPr>
        <w:t>建立健全生态管理组织制度，并在公司的规章制度中增加企业生态责任的奖励制度，对于认真履行生态责任的个人及部门给予表彰与激励，从而养成一个以讲生态责任为荣，违背生态责任为耻的企业生态文化氛围。此外，我公司在组织结构中设置环保职位，负责厂区绿化及环保工作。建立企业生态责任道德规则，规范个人及部门行为，加强对非道德运作行为的控制；强化生态责任方面的教育，提升了员工及部门的生态道德素质，强化了企业社会责任的道德自律，塑造符合生态责任的企业制度文化，有利于将我公司在生态责任方面的立场传递给每一位员工，最终树立起对社会的道德责任意识；还通过各种鼓励性措施来激励个人及部门积极承担社会责任。</w:t>
      </w:r>
    </w:p>
    <w:p>
      <w:pPr>
        <w:spacing w:line="520" w:lineRule="exact"/>
        <w:ind w:firstLine="560" w:firstLineChars="200"/>
        <w:rPr>
          <w:rFonts w:hint="eastAsia" w:ascii="方正仿宋_GBK" w:hAnsi="宋体" w:eastAsia="方正仿宋_GBK" w:cs="宋体"/>
          <w:kern w:val="0"/>
          <w:sz w:val="28"/>
          <w:szCs w:val="28"/>
          <w:u w:val="single"/>
        </w:rPr>
      </w:pPr>
    </w:p>
    <w:p>
      <w:pPr>
        <w:spacing w:line="520" w:lineRule="exact"/>
        <w:ind w:firstLine="560" w:firstLineChars="200"/>
        <w:rPr>
          <w:rFonts w:ascii="方正仿宋_GBK" w:hAnsi="宋体" w:eastAsia="方正仿宋_GBK" w:cs="宋体"/>
          <w:kern w:val="0"/>
          <w:sz w:val="28"/>
          <w:szCs w:val="28"/>
          <w:u w:val="single"/>
        </w:rPr>
      </w:pPr>
      <w:r>
        <w:rPr>
          <w:rFonts w:hint="eastAsia" w:ascii="方正仿宋_GBK" w:hAnsi="宋体" w:eastAsia="方正仿宋_GBK" w:cs="宋体"/>
          <w:kern w:val="0"/>
          <w:sz w:val="28"/>
          <w:szCs w:val="28"/>
          <w:u w:val="single"/>
        </w:rPr>
        <w:t>幸福</w:t>
      </w:r>
      <w:r>
        <w:rPr>
          <w:rFonts w:hint="eastAsia" w:ascii="方正仿宋_GBK" w:hAnsi="宋体" w:eastAsia="方正仿宋_GBK" w:cs="宋体"/>
          <w:kern w:val="0"/>
          <w:sz w:val="28"/>
          <w:szCs w:val="28"/>
          <w:u w:val="single"/>
          <w:lang w:val="en-US" w:eastAsia="zh-CN"/>
        </w:rPr>
        <w:t>东渡</w:t>
      </w:r>
      <w:r>
        <w:rPr>
          <w:rFonts w:hint="eastAsia" w:ascii="方正仿宋_GBK" w:hAnsi="宋体" w:eastAsia="方正仿宋_GBK" w:cs="宋体"/>
          <w:kern w:val="0"/>
          <w:sz w:val="28"/>
          <w:szCs w:val="28"/>
          <w:u w:val="single"/>
        </w:rPr>
        <w:t>——构建和谐社会</w:t>
      </w:r>
    </w:p>
    <w:p>
      <w:pPr>
        <w:spacing w:line="560" w:lineRule="exact"/>
        <w:ind w:firstLine="640"/>
        <w:rPr>
          <w:rFonts w:hint="eastAsia" w:ascii="仿宋_GB2312" w:eastAsia="仿宋_GB2312"/>
          <w:sz w:val="30"/>
          <w:szCs w:val="30"/>
        </w:rPr>
      </w:pPr>
      <w:r>
        <w:rPr>
          <w:rFonts w:hint="eastAsia" w:ascii="仿宋_GB2312" w:eastAsia="仿宋_GB2312"/>
          <w:sz w:val="30"/>
          <w:szCs w:val="30"/>
        </w:rPr>
        <w:t>近年来，集团将做好企业的就业和社会保障工作与贯彻落实企业长远发展规划结合起来，以人为本，创新思路，坚持从维护员工利益出发，为员工谋福利，调动了员工的积极性和创造性，取得较好效果，赢得社会和企业员工的赞誉。</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一、建立健全各种制度，保障员工权益</w:t>
      </w:r>
    </w:p>
    <w:p>
      <w:pPr>
        <w:spacing w:line="560" w:lineRule="exact"/>
        <w:ind w:firstLine="640"/>
        <w:rPr>
          <w:rFonts w:hint="eastAsia" w:ascii="仿宋_GB2312" w:eastAsia="仿宋_GB2312"/>
          <w:sz w:val="30"/>
          <w:szCs w:val="30"/>
        </w:rPr>
      </w:pPr>
      <w:r>
        <w:rPr>
          <w:rFonts w:hint="eastAsia" w:ascii="仿宋_GB2312" w:eastAsia="仿宋_GB2312"/>
          <w:sz w:val="30"/>
          <w:szCs w:val="30"/>
        </w:rPr>
        <w:t>东渡纺织集团长期坚持职工民主管理监督机制，推行厂务公开，增强企业运作透明度，保障职工的政治民主权利。与此同时，公司多次组织职工代表集中系统地学习新《劳动合同法》和《劳动合同法解读》，展了以劳动争议为主要内容的维权活动。在日常工作中，对职工的合理诉求，工会积极向有关方面反应，并督促解决。迄今为止，公司职工中未发生一起劳动争议。</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二、多效并举，拓宽渠道创造就业岗位</w:t>
      </w:r>
    </w:p>
    <w:p>
      <w:pPr>
        <w:spacing w:line="560" w:lineRule="exact"/>
        <w:ind w:firstLine="640"/>
        <w:rPr>
          <w:rFonts w:hint="eastAsia" w:ascii="仿宋_GB2312" w:eastAsia="仿宋_GB2312"/>
          <w:sz w:val="30"/>
          <w:szCs w:val="30"/>
        </w:rPr>
      </w:pPr>
      <w:r>
        <w:rPr>
          <w:rFonts w:hint="eastAsia" w:ascii="仿宋_GB2312" w:eastAsia="仿宋_GB2312"/>
          <w:sz w:val="30"/>
          <w:szCs w:val="30"/>
        </w:rPr>
        <w:t>集团坚持“以人为本”的发展战略，推行了与市场接轨的人才聘用机制，另外，推行情感留人、事业留人，待遇留人的用人机制，为企业员工创造良好的生活、工作环境。进入21世纪，东渡集团采用了“巩固苏中、开发苏北、关注西北”的战略，努力实现市场的多元化和跨区域经营，先后在泗阳、如皋开设工厂，吸收当地劳动力进厂工作，为当地的劳动力就业做出了突出贡献，</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三、提高职工素质，积极开展技术创新活动</w:t>
      </w:r>
    </w:p>
    <w:p>
      <w:pPr>
        <w:ind w:firstLine="600" w:firstLineChars="200"/>
        <w:rPr>
          <w:rFonts w:ascii="仿宋_GB2312" w:hAnsi="宋体" w:eastAsia="仿宋_GB2312"/>
          <w:sz w:val="32"/>
          <w:szCs w:val="32"/>
        </w:rPr>
      </w:pPr>
      <w:r>
        <w:rPr>
          <w:rFonts w:hint="eastAsia" w:ascii="仿宋_GB2312" w:eastAsia="仿宋_GB2312"/>
          <w:sz w:val="30"/>
          <w:szCs w:val="30"/>
        </w:rPr>
        <w:t>东渡纺织集团始终把加强职工教育</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"http://train.veryeast.cn/" \t "_blank" </w:instrText>
      </w:r>
      <w:r>
        <w:rPr>
          <w:rFonts w:hint="eastAsia" w:ascii="仿宋_GB2312" w:eastAsia="仿宋_GB2312"/>
          <w:sz w:val="30"/>
          <w:szCs w:val="30"/>
        </w:rPr>
        <w:fldChar w:fldCharType="separate"/>
      </w:r>
      <w:r>
        <w:rPr>
          <w:rFonts w:hint="eastAsia" w:ascii="仿宋_GB2312" w:eastAsia="仿宋_GB2312"/>
          <w:sz w:val="30"/>
          <w:szCs w:val="30"/>
        </w:rPr>
        <w:t>培训</w:t>
      </w:r>
      <w:r>
        <w:rPr>
          <w:rFonts w:hint="eastAsia" w:ascii="仿宋_GB2312" w:eastAsia="仿宋_GB2312"/>
          <w:sz w:val="30"/>
          <w:szCs w:val="30"/>
        </w:rPr>
        <w:fldChar w:fldCharType="end"/>
      </w:r>
      <w:r>
        <w:rPr>
          <w:rFonts w:hint="eastAsia" w:ascii="仿宋_GB2312" w:eastAsia="仿宋_GB2312"/>
          <w:sz w:val="30"/>
          <w:szCs w:val="30"/>
        </w:rPr>
        <w:t>、提高职工素质作为企业发展的系统工程长抓不懈。公司首先从提高职工安全意识和安全技能入手，在不断建立健全安全生产管理制度的基础上，深入开展了安全生产、职业卫生防护等项目的宣教培训，进一步加强了员工的安全生产意识和安全技能。对于某些特殊岗位，公司实施持证上岗，凡新上岗的大型机械设备操作人员必须经过</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"http://train.veryeast.cn/" \t "_blank" </w:instrText>
      </w:r>
      <w:r>
        <w:rPr>
          <w:rFonts w:hint="eastAsia" w:ascii="仿宋_GB2312" w:eastAsia="仿宋_GB2312"/>
          <w:sz w:val="30"/>
          <w:szCs w:val="30"/>
        </w:rPr>
        <w:fldChar w:fldCharType="separate"/>
      </w:r>
      <w:r>
        <w:rPr>
          <w:rFonts w:hint="eastAsia" w:ascii="仿宋_GB2312" w:eastAsia="仿宋_GB2312"/>
          <w:sz w:val="30"/>
          <w:szCs w:val="30"/>
        </w:rPr>
        <w:t>培训</w:t>
      </w:r>
      <w:r>
        <w:rPr>
          <w:rFonts w:hint="eastAsia" w:ascii="仿宋_GB2312" w:eastAsia="仿宋_GB2312"/>
          <w:sz w:val="30"/>
          <w:szCs w:val="30"/>
        </w:rPr>
        <w:fldChar w:fldCharType="end"/>
      </w:r>
      <w:r>
        <w:rPr>
          <w:rFonts w:hint="eastAsia" w:ascii="仿宋_GB2312" w:eastAsia="仿宋_GB2312"/>
          <w:sz w:val="30"/>
          <w:szCs w:val="30"/>
        </w:rPr>
        <w:t>，对各种机器设备全面了解之后方可上岗，近年来，公司没有发现任何重大工伤事故</w:t>
      </w:r>
      <w:r>
        <w:rPr>
          <w:rFonts w:hint="eastAsia" w:ascii="仿宋_GB2312" w:hAnsi="宋体" w:eastAsia="仿宋_GB2312"/>
          <w:sz w:val="32"/>
          <w:szCs w:val="32"/>
        </w:rPr>
        <w:t>。</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四、开展校企合作，努力实现资源优化</w:t>
      </w:r>
    </w:p>
    <w:p>
      <w:pPr>
        <w:ind w:firstLine="600" w:firstLineChars="200"/>
        <w:rPr>
          <w:rFonts w:hint="eastAsia" w:ascii="仿宋_GB2312" w:eastAsia="仿宋_GB2312"/>
          <w:sz w:val="30"/>
          <w:szCs w:val="30"/>
        </w:rPr>
      </w:pPr>
      <w:r>
        <w:rPr>
          <w:rFonts w:hint="eastAsia" w:ascii="仿宋_GB2312" w:eastAsia="仿宋_GB2312"/>
          <w:sz w:val="30"/>
          <w:szCs w:val="30"/>
        </w:rPr>
        <w:t>公司领导班子高度重视企业人才建设，近年来，公司与苏州大学、东华大学、江南大学等开展校企合作，利用新技术，开发新产品。同时，与常州纺织服装职业技术学院、沙洲工学院、南通工学院共建创业园基地，为在校大学生提供实习和创业机会。企业一直十分重视人才的培养，积极引进研究生、博士生等高学历、高素质的人才，使企业“学习—竞争—提升”的氛围不断加强。</w:t>
      </w:r>
    </w:p>
    <w:p>
      <w:pPr>
        <w:ind w:firstLine="643" w:firstLineChars="200"/>
        <w:rPr>
          <w:rFonts w:hint="eastAsia" w:ascii="仿宋_GB2312" w:hAnsi="宋体" w:eastAsia="仿宋_GB2312"/>
          <w:b/>
          <w:sz w:val="32"/>
          <w:szCs w:val="32"/>
        </w:rPr>
      </w:pPr>
      <w:r>
        <w:rPr>
          <w:rFonts w:hint="eastAsia" w:ascii="仿宋_GB2312" w:hAnsi="宋体" w:eastAsia="仿宋_GB2312"/>
          <w:b/>
          <w:sz w:val="32"/>
          <w:szCs w:val="32"/>
        </w:rPr>
        <w:t>五、强化厂务公开，创建和谐劳动关系</w:t>
      </w:r>
    </w:p>
    <w:p>
      <w:pPr>
        <w:ind w:firstLine="600" w:firstLineChars="200"/>
        <w:rPr>
          <w:rFonts w:hint="eastAsia" w:ascii="仿宋_GB2312" w:eastAsia="仿宋_GB2312"/>
          <w:sz w:val="30"/>
          <w:szCs w:val="30"/>
        </w:rPr>
      </w:pPr>
      <w:r>
        <w:rPr>
          <w:rFonts w:hint="eastAsia" w:ascii="仿宋_GB2312" w:eastAsia="仿宋_GB2312"/>
          <w:sz w:val="30"/>
          <w:szCs w:val="30"/>
        </w:rPr>
        <w:t>对于推进厂务公开、民主管理，公司特别注重与企业的生产经营管理的有机结合。无论是公司实行整体结构调整战略、还是技改扩能上新项目，都向职工公开，特别是近年来企业面临的市场竞争压力、科技创新和新技术开发的压力、内部管理创新和集团改组实现自主生存的压力、健康稳定发展的压力、企业实现年度效益目标的压力，公司会通过职代会、经济活动分析会、形势任务报告会、厂情发布会以及文件、公示栏等多种形式毫无删减地传递给广大职工，向职工亮家底，把企业领导面临的压力变成全体职工的压力，广大职工的危机意识和责任感大大增强，厂务公开由此成为进一步密切党群关系、干群关系，增强企业凝聚力，推动企业改革、发展和稳定的动力。</w:t>
      </w:r>
    </w:p>
    <w:p>
      <w:pPr>
        <w:ind w:firstLine="600" w:firstLineChars="200"/>
        <w:rPr>
          <w:rFonts w:hint="eastAsia" w:ascii="仿宋_GB2312" w:eastAsia="仿宋_GB2312"/>
          <w:sz w:val="30"/>
          <w:szCs w:val="30"/>
        </w:rPr>
      </w:pPr>
      <w:r>
        <w:rPr>
          <w:rFonts w:hint="eastAsia" w:ascii="仿宋_GB2312" w:eastAsia="仿宋_GB2312"/>
          <w:sz w:val="30"/>
          <w:szCs w:val="30"/>
        </w:rPr>
        <w:t>多年来长期有效的厂务公开工作，使公司已形成较完善的厂务公开、民主管理制度，建有一套行之有效的监督制约机制，切实保障职工的知情权、参与权、决策权和监督权。</w:t>
      </w:r>
      <w:r>
        <w:rPr>
          <w:rFonts w:hint="eastAsia" w:ascii="仿宋_GB2312" w:eastAsia="仿宋_GB2312"/>
          <w:b/>
          <w:sz w:val="32"/>
          <w:szCs w:val="32"/>
        </w:rPr>
        <w:t>一</w:t>
      </w:r>
      <w:r>
        <w:rPr>
          <w:rFonts w:hint="eastAsia" w:ascii="仿宋_GB2312" w:eastAsia="仿宋_GB2312"/>
          <w:sz w:val="30"/>
          <w:szCs w:val="30"/>
        </w:rPr>
        <w:t>是重点发挥职工代表大会的主体作用。近年来，公司逐步实施了劳动、用工、分配等多项制度改革，制度出台以后，均面向职工广泛征求意见和建议，并经职代会审议通过后实施，充分保障了职工群众的知情权、参与权、表达权和监督权。二是重点推进厂务公开的纵深发展。近年来，公司厂务公开、民主管理由局部公开向全面公开、定期公开向常态公开、发布式公开向互动性公开转变。公司厂务公开目前已经延伸至生产经营、人才管理及党风廉政建设等领域，本着实事求是的态度，客观、全面、真实、准确地进行公开。</w:t>
      </w:r>
    </w:p>
    <w:p>
      <w:pPr>
        <w:ind w:firstLine="600" w:firstLineChars="200"/>
        <w:rPr>
          <w:rFonts w:hint="eastAsia" w:ascii="仿宋_GB2312" w:eastAsia="仿宋_GB2312"/>
          <w:sz w:val="30"/>
          <w:szCs w:val="30"/>
        </w:rPr>
      </w:pPr>
      <w:r>
        <w:rPr>
          <w:rFonts w:hint="eastAsia" w:ascii="仿宋_GB2312" w:eastAsia="仿宋_GB2312"/>
          <w:sz w:val="30"/>
          <w:szCs w:val="30"/>
        </w:rPr>
        <w:t>我们始终坚持：凡是涉及公司改革发展的重大问题必须公开；凡是领导干部廉洁自律的问题必须公开，凡是涉及职工切身利益的问题必须公开。为推动厂务公开、民主管理工作同公司的经营管理、主体业务工作紧密融合，我们不断拓展工作领域，不断拓展工作平台，力求公开，不留死角、不留空白，实现民主管理、厂务公开的互动和深化。在这个过程中，公司将传统的公开形式与现代的信息化公开形式紧密结合，确保厂务公开做到全公开、常公开、真公开。形式上以职工代表大会、工会委员会、晨会、例会为主，座谈、联谊、晚会、演讲、竞赛、评优、参观、旅游等为辅，深入推进厂务公开、民主管理工作。</w:t>
      </w:r>
    </w:p>
    <w:p>
      <w:pPr>
        <w:ind w:firstLine="570"/>
        <w:rPr>
          <w:rFonts w:hint="eastAsia" w:ascii="仿宋_GB2312" w:hAnsi="宋体" w:eastAsia="仿宋_GB2312" w:cs="宋体"/>
          <w:b/>
          <w:bCs/>
          <w:snapToGrid w:val="0"/>
          <w:kern w:val="0"/>
          <w:sz w:val="32"/>
          <w:szCs w:val="32"/>
          <w:lang w:val="en-US" w:eastAsia="zh-CN"/>
        </w:rPr>
      </w:pPr>
      <w:r>
        <w:rPr>
          <w:rFonts w:hint="eastAsia" w:ascii="仿宋_GB2312" w:hAnsi="宋体" w:eastAsia="仿宋_GB2312" w:cs="宋体"/>
          <w:b/>
          <w:bCs/>
          <w:snapToGrid w:val="0"/>
          <w:kern w:val="0"/>
          <w:sz w:val="32"/>
          <w:szCs w:val="32"/>
          <w:lang w:val="en-US" w:eastAsia="zh-CN"/>
        </w:rPr>
        <w:t>六、坚持效益共享，提升企业凝聚力</w:t>
      </w:r>
    </w:p>
    <w:p>
      <w:pPr>
        <w:ind w:firstLine="600" w:firstLineChars="200"/>
        <w:rPr>
          <w:rFonts w:hint="eastAsia" w:ascii="仿宋_GB2312" w:eastAsia="仿宋_GB2312"/>
          <w:sz w:val="30"/>
          <w:szCs w:val="30"/>
        </w:rPr>
      </w:pPr>
      <w:r>
        <w:rPr>
          <w:rFonts w:hint="eastAsia" w:ascii="仿宋_GB2312" w:eastAsia="仿宋_GB2312"/>
          <w:sz w:val="30"/>
          <w:szCs w:val="30"/>
        </w:rPr>
        <w:t>多年来，东渡集团的广大员工分享着丰硕的成果和创业的红利，公司实行“两免三奖励”、“创新奖励”等激励机制，为员工提供免费工作餐、免费员工宿舍，工龄全勤奖、节日慰问奖、新年返岗奖等，全心全意为员工着想，安排新进职工体检，为员工提供优良的工作生活条件，为员工缴纳保险和公积金，为员工提供学习机会，组织员工旅游和大学生拓展活动。彰显了东渡集团“员工之家，厂兴我荣，共同创造，成果分享”人性化的管理理念，促进了员工薪酬及福利待遇的大幅提高，幸福指数有了较大的提升。</w:t>
      </w:r>
    </w:p>
    <w:p>
      <w:pPr>
        <w:ind w:firstLine="600" w:firstLineChars="200"/>
        <w:rPr>
          <w:rFonts w:hint="eastAsia" w:ascii="仿宋_GB2312" w:eastAsia="仿宋_GB2312"/>
          <w:sz w:val="30"/>
          <w:szCs w:val="30"/>
        </w:rPr>
      </w:pPr>
      <w:r>
        <w:rPr>
          <w:rFonts w:hint="eastAsia" w:ascii="仿宋_GB2312" w:eastAsia="仿宋_GB2312"/>
          <w:sz w:val="30"/>
          <w:szCs w:val="30"/>
        </w:rPr>
        <w:t>集团公司为弘扬企业文化，丰富职工业余文化生活，于2010年建成红帆文化中心。文化中心位于公司新总部西南角职工生活圈内，占地面积2000平方米，建筑面积提升到2500平方米，容积率达167%，内设演艺大厅、卡拉OK厅、图书馆等，为职工提供业余文化生活空间。红帆文化中心共三大片区、七大项目。三大片区包括影音区、图书区、活动区，共有影视厅、棋牌室、健身房、乒乓球/台球室、电子阅览室、图书馆、报刊阅览室等七个项目，供员工在业余时间学习和休息。</w:t>
      </w:r>
    </w:p>
    <w:p>
      <w:pPr>
        <w:ind w:firstLine="600" w:firstLineChars="200"/>
        <w:rPr>
          <w:rFonts w:hint="eastAsia" w:ascii="仿宋_GB2312" w:eastAsia="仿宋_GB2312"/>
          <w:sz w:val="30"/>
          <w:szCs w:val="30"/>
        </w:rPr>
      </w:pPr>
      <w:r>
        <w:rPr>
          <w:rFonts w:hint="eastAsia" w:ascii="仿宋_GB2312" w:eastAsia="仿宋_GB2312"/>
          <w:sz w:val="30"/>
          <w:szCs w:val="30"/>
        </w:rPr>
        <w:t>深入开展生态文明宣传工作，通过形式分析、决策诠释、动态报道、典型宣传、深度报道等形式，普及生态文明知识，提高企业员工生态环境的忧患意识和主体意识，进一步提升生态文明的认知水平。</w:t>
      </w:r>
      <w:r>
        <w:rPr>
          <w:rFonts w:hint="eastAsia" w:ascii="仿宋_GB2312" w:eastAsia="仿宋_GB2312"/>
          <w:sz w:val="30"/>
          <w:szCs w:val="30"/>
          <w:lang w:eastAsia="zh-CN"/>
        </w:rPr>
        <w:t>历年来，东渡集团开展了一系列带有东渡特色的生态文明公益活动，包括职工操作技能大赛、运动会、工时完成率评比、“心汇聚</w:t>
      </w:r>
      <w:r>
        <w:rPr>
          <w:rFonts w:hint="eastAsia" w:ascii="仿宋_GB2312" w:eastAsia="仿宋_GB2312"/>
          <w:sz w:val="30"/>
          <w:szCs w:val="30"/>
          <w:lang w:val="en-US" w:eastAsia="zh-CN"/>
        </w:rPr>
        <w:t xml:space="preserve"> 爱飞翔</w:t>
      </w:r>
      <w:r>
        <w:rPr>
          <w:rFonts w:hint="eastAsia" w:ascii="仿宋_GB2312" w:eastAsia="仿宋_GB2312"/>
          <w:sz w:val="30"/>
          <w:szCs w:val="30"/>
          <w:lang w:eastAsia="zh-CN"/>
        </w:rPr>
        <w:t>”新市民子女关爱行动、“伊思贝得▪爱在六一”公益之旅活动。</w:t>
      </w:r>
    </w:p>
    <w:p>
      <w:pPr>
        <w:spacing w:line="520" w:lineRule="exact"/>
        <w:ind w:firstLine="602" w:firstLineChars="200"/>
        <w:rPr>
          <w:rFonts w:hint="eastAsia" w:ascii="仿宋_GB2312" w:eastAsia="仿宋_GB2312"/>
          <w:b/>
          <w:bCs/>
          <w:sz w:val="30"/>
          <w:szCs w:val="30"/>
          <w:lang w:eastAsia="zh-CN"/>
        </w:rPr>
      </w:pPr>
      <w:r>
        <w:rPr>
          <w:rFonts w:hint="eastAsia" w:ascii="仿宋_GB2312" w:eastAsia="仿宋_GB2312"/>
          <w:b/>
          <w:bCs/>
          <w:sz w:val="30"/>
          <w:szCs w:val="30"/>
          <w:lang w:val="en-US" w:eastAsia="zh-CN"/>
        </w:rPr>
        <w:t>七、</w:t>
      </w:r>
      <w:r>
        <w:rPr>
          <w:rFonts w:hint="eastAsia" w:ascii="Arial" w:hAnsi="Arial" w:eastAsia="方正仿宋_GBK" w:cs="Arial"/>
          <w:color w:val="333333"/>
          <w:sz w:val="28"/>
          <w:szCs w:val="28"/>
        </w:rPr>
        <w:t>回馈社会，热心公益事业</w:t>
      </w:r>
    </w:p>
    <w:p>
      <w:pPr>
        <w:ind w:firstLine="600" w:firstLineChars="200"/>
        <w:rPr>
          <w:rFonts w:hint="eastAsia" w:ascii="仿宋_GB2312" w:eastAsia="仿宋_GB2312"/>
          <w:sz w:val="30"/>
          <w:szCs w:val="30"/>
        </w:rPr>
      </w:pPr>
      <w:r>
        <w:rPr>
          <w:rFonts w:hint="eastAsia" w:ascii="仿宋_GB2312" w:eastAsia="仿宋_GB2312"/>
          <w:sz w:val="30"/>
          <w:szCs w:val="30"/>
        </w:rPr>
        <w:t>东渡集团一直积极参与公益事业，做一个有责任的企业，在创造价值的同时不忘回报社会。东渡集团一直秉承“助学育人、帮优扶弱”的宗旨，倡导“传递爱心火炬”精神。</w:t>
      </w:r>
    </w:p>
    <w:p>
      <w:pPr>
        <w:ind w:firstLine="600" w:firstLineChars="200"/>
        <w:rPr>
          <w:rFonts w:hint="eastAsia" w:ascii="仿宋_GB2312" w:eastAsia="仿宋_GB2312"/>
          <w:sz w:val="30"/>
          <w:szCs w:val="30"/>
        </w:rPr>
      </w:pPr>
      <w:r>
        <w:rPr>
          <w:rFonts w:hint="eastAsia" w:ascii="仿宋_GB2312" w:eastAsia="仿宋_GB2312"/>
          <w:sz w:val="30"/>
          <w:szCs w:val="30"/>
        </w:rPr>
        <w:t>2001年开始东渡集团就长期资助市梁丰中学、市艺术职中的贫困学生，为他们捐赠助学金和爱心衣物，帮助困难在校学生完成学业，扶助他们自主创业</w:t>
      </w:r>
      <w:r>
        <w:rPr>
          <w:rFonts w:hint="eastAsia" w:ascii="仿宋_GB2312" w:eastAsia="仿宋_GB2312"/>
          <w:sz w:val="30"/>
          <w:szCs w:val="30"/>
          <w:lang w:eastAsia="zh-CN"/>
        </w:rPr>
        <w:t>。</w:t>
      </w:r>
      <w:r>
        <w:rPr>
          <w:rFonts w:hint="eastAsia" w:ascii="仿宋_GB2312" w:eastAsia="仿宋_GB2312"/>
          <w:sz w:val="30"/>
          <w:szCs w:val="30"/>
          <w:lang w:val="en-US" w:eastAsia="zh-CN"/>
        </w:rPr>
        <w:t>积极参与张家港慈善活动，</w:t>
      </w:r>
      <w:r>
        <w:rPr>
          <w:rFonts w:hint="eastAsia" w:ascii="仿宋_GB2312" w:eastAsia="仿宋_GB2312"/>
          <w:sz w:val="30"/>
          <w:szCs w:val="30"/>
        </w:rPr>
        <w:t>累计捐助金额达200余万元。</w:t>
      </w:r>
    </w:p>
    <w:p>
      <w:pPr>
        <w:ind w:firstLine="600" w:firstLineChars="200"/>
        <w:rPr>
          <w:rFonts w:hint="eastAsia" w:ascii="仿宋_GB2312" w:eastAsia="仿宋_GB2312"/>
          <w:sz w:val="30"/>
          <w:szCs w:val="30"/>
        </w:rPr>
      </w:pPr>
      <w:r>
        <w:rPr>
          <w:rFonts w:hint="eastAsia" w:ascii="仿宋_GB2312" w:eastAsia="仿宋_GB2312"/>
          <w:sz w:val="30"/>
          <w:szCs w:val="30"/>
        </w:rPr>
        <w:t>2012年9月，东渡集团出资30万元成立了河海大学教育发展基金，用于帮助贫困学生，奖励优秀学生，激励教师爱岗敬业，不断提高教育教学质量；激励学生刻苦学习、友爱助人、品学兼优。</w:t>
      </w:r>
    </w:p>
    <w:p>
      <w:pPr>
        <w:ind w:firstLine="600" w:firstLineChars="200"/>
        <w:rPr>
          <w:rFonts w:hint="eastAsia" w:ascii="仿宋_GB2312" w:eastAsia="仿宋_GB2312"/>
          <w:sz w:val="30"/>
          <w:szCs w:val="30"/>
        </w:rPr>
      </w:pPr>
      <w:r>
        <w:rPr>
          <w:rFonts w:hint="eastAsia" w:ascii="仿宋_GB2312" w:eastAsia="仿宋_GB2312"/>
          <w:sz w:val="30"/>
          <w:szCs w:val="30"/>
        </w:rPr>
        <w:t>2012年1月，针对春节期间“购票难”的问题，东渡集团拿出36万余元，通过包车、购买火车票、为优秀员工购买机票等办法，为全公司1200余名员工解决回家过年的问题。</w:t>
      </w:r>
    </w:p>
    <w:p>
      <w:pPr>
        <w:ind w:firstLine="600" w:firstLineChars="200"/>
        <w:rPr>
          <w:rFonts w:hint="eastAsia" w:ascii="仿宋_GB2312" w:eastAsia="仿宋_GB2312"/>
          <w:sz w:val="30"/>
          <w:szCs w:val="30"/>
        </w:rPr>
      </w:pPr>
      <w:r>
        <w:rPr>
          <w:rFonts w:hint="eastAsia" w:ascii="仿宋_GB2312" w:eastAsia="仿宋_GB2312"/>
          <w:sz w:val="30"/>
          <w:szCs w:val="30"/>
        </w:rPr>
        <w:t>2016年</w:t>
      </w:r>
      <w:r>
        <w:rPr>
          <w:rFonts w:hint="eastAsia" w:ascii="仿宋_GB2312" w:eastAsia="仿宋_GB2312"/>
          <w:sz w:val="30"/>
          <w:szCs w:val="30"/>
          <w:lang w:val="en-US" w:eastAsia="zh-CN"/>
        </w:rPr>
        <w:t>起连续多年</w:t>
      </w:r>
      <w:r>
        <w:rPr>
          <w:rFonts w:hint="eastAsia" w:ascii="仿宋_GB2312" w:eastAsia="仿宋_GB2312"/>
          <w:sz w:val="30"/>
          <w:szCs w:val="30"/>
        </w:rPr>
        <w:t>，针对公司外来务工人员年中生产任务重，有时需要加班，没有过多的时间陪伴放暑假的子女的问题，公司举办“心汇聚·爱飞翔”新市民子女关爱行动，让小朋友们增长知识，开拓视野，开发智力，促进德智体全面发展，同时，强化小朋友安全意识，责任意识和服务意识，让他们的父母安心工作，解除后顾之忧。东渡集团以此为契机，团结一心创造关爱职工的氛围，共同建设和谐、幸福、向上的东渡大家庭。</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2017年开始与陕西城市经济学校等特殊学校加强合作，积极使用残疾人员，截止目前录用听障残疾人70余人，为他们提供合适的工作岗位，实现自立；同时选拔优秀残疾人参与国家一带一路建设，对柬埔寨工厂提供技术支持。</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2018年积极参与扶贫活动，共捐资捐款约80余万元支持沿河脱贫。并与贵州沿河职业中专校开办冠名班，培养专业技工。与沙洲工学院开办东渡纺织班，培养专业纺织服装技术人才。</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2019年为新疆巩留专项捐款10万元。</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多年来，公司一直积极坚持参与各项社会公益活动，社会责任和使命感早已浸润每个东渡人的心。</w:t>
      </w:r>
    </w:p>
    <w:p>
      <w:pPr>
        <w:spacing w:line="520" w:lineRule="exact"/>
        <w:rPr>
          <w:rFonts w:ascii="方正仿宋_GBK" w:eastAsia="方正仿宋_GBK"/>
          <w:sz w:val="28"/>
          <w:szCs w:val="28"/>
        </w:rPr>
      </w:pPr>
    </w:p>
    <w:p>
      <w:pPr>
        <w:spacing w:line="520" w:lineRule="exact"/>
        <w:rPr>
          <w:rFonts w:hint="eastAsia" w:asciiTheme="minorEastAsia" w:hAnsiTheme="minorEastAsia" w:eastAsiaTheme="minorEastAsia"/>
          <w:b/>
          <w:bCs/>
          <w:sz w:val="28"/>
          <w:szCs w:val="28"/>
          <w:lang w:val="en-US" w:eastAsia="zh-CN"/>
        </w:rPr>
      </w:pPr>
      <w:r>
        <w:rPr>
          <w:rFonts w:hint="eastAsia" w:asciiTheme="minorEastAsia" w:hAnsiTheme="minorEastAsia"/>
          <w:b/>
          <w:bCs/>
          <w:sz w:val="28"/>
          <w:szCs w:val="28"/>
        </w:rPr>
        <w:t>五、展望20</w:t>
      </w:r>
      <w:r>
        <w:rPr>
          <w:rFonts w:hint="eastAsia" w:asciiTheme="minorEastAsia" w:hAnsiTheme="minorEastAsia"/>
          <w:b/>
          <w:bCs/>
          <w:sz w:val="28"/>
          <w:szCs w:val="28"/>
          <w:lang w:val="en-US" w:eastAsia="zh-CN"/>
        </w:rPr>
        <w:t>20</w:t>
      </w:r>
    </w:p>
    <w:tbl>
      <w:tblPr>
        <w:tblStyle w:val="17"/>
        <w:tblpPr w:leftFromText="180" w:rightFromText="180" w:vertAnchor="text" w:horzAnchor="margin" w:tblpY="247"/>
        <w:tblW w:w="8383" w:type="dxa"/>
        <w:tblInd w:w="0" w:type="dxa"/>
        <w:tblLayout w:type="fixed"/>
        <w:tblCellMar>
          <w:top w:w="0" w:type="dxa"/>
          <w:left w:w="108" w:type="dxa"/>
          <w:bottom w:w="0" w:type="dxa"/>
          <w:right w:w="108" w:type="dxa"/>
        </w:tblCellMar>
      </w:tblPr>
      <w:tblGrid>
        <w:gridCol w:w="2146"/>
        <w:gridCol w:w="6237"/>
      </w:tblGrid>
      <w:tr>
        <w:tblPrEx>
          <w:tblLayout w:type="fixed"/>
          <w:tblCellMar>
            <w:top w:w="0" w:type="dxa"/>
            <w:left w:w="108" w:type="dxa"/>
            <w:bottom w:w="0" w:type="dxa"/>
            <w:right w:w="108" w:type="dxa"/>
          </w:tblCellMar>
        </w:tblPrEx>
        <w:trPr>
          <w:trHeight w:val="675" w:hRule="atLeast"/>
        </w:trPr>
        <w:tc>
          <w:tcPr>
            <w:tcW w:w="2146" w:type="dxa"/>
            <w:tcBorders>
              <w:top w:val="single" w:color="auto" w:sz="4" w:space="0"/>
              <w:left w:val="single" w:color="auto" w:sz="4" w:space="0"/>
              <w:bottom w:val="single" w:color="auto" w:sz="4" w:space="0"/>
              <w:right w:val="single" w:color="auto" w:sz="4" w:space="0"/>
            </w:tcBorders>
            <w:shd w:val="clear" w:color="000000" w:fill="C5D9F1"/>
            <w:vAlign w:val="center"/>
          </w:tcPr>
          <w:p>
            <w:pPr>
              <w:widowControl/>
              <w:spacing w:line="520" w:lineRule="exact"/>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责任领域</w:t>
            </w:r>
          </w:p>
        </w:tc>
        <w:tc>
          <w:tcPr>
            <w:tcW w:w="6237" w:type="dxa"/>
            <w:tcBorders>
              <w:top w:val="single" w:color="auto" w:sz="4" w:space="0"/>
              <w:left w:val="nil"/>
              <w:bottom w:val="single" w:color="auto" w:sz="4" w:space="0"/>
              <w:right w:val="single" w:color="auto" w:sz="4" w:space="0"/>
            </w:tcBorders>
            <w:shd w:val="clear" w:color="000000" w:fill="C5D9F1"/>
            <w:vAlign w:val="center"/>
          </w:tcPr>
          <w:p>
            <w:pPr>
              <w:widowControl/>
              <w:spacing w:line="520" w:lineRule="exact"/>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责任承诺</w:t>
            </w:r>
          </w:p>
        </w:tc>
      </w:tr>
      <w:tr>
        <w:tblPrEx>
          <w:tblLayout w:type="fixed"/>
          <w:tblCellMar>
            <w:top w:w="0" w:type="dxa"/>
            <w:left w:w="108" w:type="dxa"/>
            <w:bottom w:w="0" w:type="dxa"/>
            <w:right w:w="108" w:type="dxa"/>
          </w:tblCellMar>
        </w:tblPrEx>
        <w:trPr>
          <w:trHeight w:val="1200"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责任</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优化社会责任管理模型</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完善社会责任管理体系</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推动社会责任工作</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强化利益相关方利益</w:t>
            </w:r>
          </w:p>
        </w:tc>
      </w:tr>
      <w:tr>
        <w:tblPrEx>
          <w:tblLayout w:type="fixed"/>
          <w:tblCellMar>
            <w:top w:w="0" w:type="dxa"/>
            <w:left w:w="108" w:type="dxa"/>
            <w:bottom w:w="0" w:type="dxa"/>
            <w:right w:w="108" w:type="dxa"/>
          </w:tblCellMar>
        </w:tblPrEx>
        <w:trPr>
          <w:trHeight w:val="109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价值</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坚持稳健经营，确保良好业绩</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夯实基础管理，提升管理水平</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加强协同经营能力，创造更大价值</w:t>
            </w:r>
          </w:p>
        </w:tc>
      </w:tr>
      <w:tr>
        <w:tblPrEx>
          <w:tblLayout w:type="fixed"/>
          <w:tblCellMar>
            <w:top w:w="0" w:type="dxa"/>
            <w:left w:w="108" w:type="dxa"/>
            <w:bottom w:w="0" w:type="dxa"/>
            <w:right w:w="108" w:type="dxa"/>
          </w:tblCellMar>
        </w:tblPrEx>
        <w:trPr>
          <w:trHeight w:val="810"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创新</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大力加强科技创新</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持续推进管理创新</w:t>
            </w:r>
          </w:p>
        </w:tc>
      </w:tr>
      <w:tr>
        <w:tblPrEx>
          <w:tblLayout w:type="fixed"/>
          <w:tblCellMar>
            <w:top w:w="0" w:type="dxa"/>
            <w:left w:w="108" w:type="dxa"/>
            <w:bottom w:w="0" w:type="dxa"/>
            <w:right w:w="108" w:type="dxa"/>
          </w:tblCellMar>
        </w:tblPrEx>
        <w:trPr>
          <w:trHeight w:val="169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绿色</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绿色管理体系进一步健全 </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绿色设计深入推进</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绿色理念融入生产运营</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绿色应用持续推广</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不断倡导绿色环保行动</w:t>
            </w:r>
          </w:p>
        </w:tc>
      </w:tr>
      <w:tr>
        <w:tblPrEx>
          <w:tblLayout w:type="fixed"/>
          <w:tblCellMar>
            <w:top w:w="0" w:type="dxa"/>
            <w:left w:w="108" w:type="dxa"/>
            <w:bottom w:w="0" w:type="dxa"/>
            <w:right w:w="108" w:type="dxa"/>
          </w:tblCellMar>
        </w:tblPrEx>
        <w:trPr>
          <w:trHeight w:val="106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幸福</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实现员工和企业共同发展</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携手伙伴互利共赢</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积极为构建和谐社会贡献力量</w:t>
            </w:r>
          </w:p>
        </w:tc>
      </w:tr>
    </w:tbl>
    <w:p>
      <w:pPr>
        <w:spacing w:line="20" w:lineRule="exact"/>
        <w:rPr>
          <w:rFonts w:hint="eastAsia" w:ascii="仿宋" w:hAnsi="仿宋" w:eastAsia="仿宋" w:cs="仿宋"/>
          <w:sz w:val="28"/>
          <w:szCs w:val="28"/>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 w:name="方正仿宋_GBK">
    <w:altName w:val="Arial Unicode MS"/>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Verdana">
    <w:panose1 w:val="020B0604030504040204"/>
    <w:charset w:val="00"/>
    <w:family w:val="swiss"/>
    <w:pitch w:val="default"/>
    <w:sig w:usb0="A00006FF" w:usb1="4000205B" w:usb2="00000010" w:usb3="00000000" w:csb0="2000019F" w:csb1="00000000"/>
  </w:font>
  <w:font w:name="宋体-方正超大字符集">
    <w:altName w:val="宋体"/>
    <w:panose1 w:val="00000000000000000000"/>
    <w:charset w:val="86"/>
    <w:family w:val="script"/>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697498"/>
      <w:docPartObj>
        <w:docPartGallery w:val="autotext"/>
      </w:docPartObj>
    </w:sdtPr>
    <w:sdtContent>
      <w:p>
        <w:pPr>
          <w:pStyle w:val="8"/>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8"/>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67"/>
    <w:rsid w:val="00043FCF"/>
    <w:rsid w:val="00060AF3"/>
    <w:rsid w:val="00082FB0"/>
    <w:rsid w:val="000B79E4"/>
    <w:rsid w:val="00104347"/>
    <w:rsid w:val="001467D5"/>
    <w:rsid w:val="001A3F6D"/>
    <w:rsid w:val="00212005"/>
    <w:rsid w:val="00245DFF"/>
    <w:rsid w:val="0025191D"/>
    <w:rsid w:val="00261589"/>
    <w:rsid w:val="00270D35"/>
    <w:rsid w:val="00300AC3"/>
    <w:rsid w:val="00300F77"/>
    <w:rsid w:val="003251B0"/>
    <w:rsid w:val="0036538B"/>
    <w:rsid w:val="00366566"/>
    <w:rsid w:val="00371493"/>
    <w:rsid w:val="003D0487"/>
    <w:rsid w:val="003F40B6"/>
    <w:rsid w:val="00415367"/>
    <w:rsid w:val="00426F10"/>
    <w:rsid w:val="00433398"/>
    <w:rsid w:val="00433768"/>
    <w:rsid w:val="004956F5"/>
    <w:rsid w:val="00496A38"/>
    <w:rsid w:val="004A0038"/>
    <w:rsid w:val="004A78E2"/>
    <w:rsid w:val="004B5E91"/>
    <w:rsid w:val="004D3887"/>
    <w:rsid w:val="004E7106"/>
    <w:rsid w:val="00500511"/>
    <w:rsid w:val="005525BB"/>
    <w:rsid w:val="005533B1"/>
    <w:rsid w:val="00556EEB"/>
    <w:rsid w:val="005762D2"/>
    <w:rsid w:val="005D31EE"/>
    <w:rsid w:val="005D406E"/>
    <w:rsid w:val="00604ED2"/>
    <w:rsid w:val="00617493"/>
    <w:rsid w:val="00626EAD"/>
    <w:rsid w:val="00651236"/>
    <w:rsid w:val="006853C4"/>
    <w:rsid w:val="00690584"/>
    <w:rsid w:val="0069335D"/>
    <w:rsid w:val="00711E63"/>
    <w:rsid w:val="00731F6D"/>
    <w:rsid w:val="00745CCC"/>
    <w:rsid w:val="00783D52"/>
    <w:rsid w:val="007B43B9"/>
    <w:rsid w:val="007B5050"/>
    <w:rsid w:val="007B5283"/>
    <w:rsid w:val="007D0885"/>
    <w:rsid w:val="007D314A"/>
    <w:rsid w:val="007E268D"/>
    <w:rsid w:val="007F1B78"/>
    <w:rsid w:val="008263E8"/>
    <w:rsid w:val="0086332B"/>
    <w:rsid w:val="00865B8A"/>
    <w:rsid w:val="00867904"/>
    <w:rsid w:val="008D5B17"/>
    <w:rsid w:val="00907074"/>
    <w:rsid w:val="0091657B"/>
    <w:rsid w:val="00917A0A"/>
    <w:rsid w:val="00992226"/>
    <w:rsid w:val="00992396"/>
    <w:rsid w:val="009A46C8"/>
    <w:rsid w:val="009A6CFD"/>
    <w:rsid w:val="00A0599F"/>
    <w:rsid w:val="00A13777"/>
    <w:rsid w:val="00A2430C"/>
    <w:rsid w:val="00A24463"/>
    <w:rsid w:val="00A910B6"/>
    <w:rsid w:val="00AC338E"/>
    <w:rsid w:val="00B236DE"/>
    <w:rsid w:val="00B32E11"/>
    <w:rsid w:val="00B54E74"/>
    <w:rsid w:val="00B65E40"/>
    <w:rsid w:val="00BB0077"/>
    <w:rsid w:val="00BD52C1"/>
    <w:rsid w:val="00C10EF8"/>
    <w:rsid w:val="00C124FE"/>
    <w:rsid w:val="00C20556"/>
    <w:rsid w:val="00C279D1"/>
    <w:rsid w:val="00C73381"/>
    <w:rsid w:val="00D06C1E"/>
    <w:rsid w:val="00D40EB4"/>
    <w:rsid w:val="00DC1F98"/>
    <w:rsid w:val="00DF6D0E"/>
    <w:rsid w:val="00E539BF"/>
    <w:rsid w:val="00E54078"/>
    <w:rsid w:val="00E54FEF"/>
    <w:rsid w:val="00E73828"/>
    <w:rsid w:val="00ED6067"/>
    <w:rsid w:val="00F04E18"/>
    <w:rsid w:val="00F104F4"/>
    <w:rsid w:val="00F449C6"/>
    <w:rsid w:val="06A85736"/>
    <w:rsid w:val="111451EF"/>
    <w:rsid w:val="1DE8401E"/>
    <w:rsid w:val="33D33FBE"/>
    <w:rsid w:val="42D0060B"/>
    <w:rsid w:val="449E6EF1"/>
    <w:rsid w:val="4D5C73CE"/>
    <w:rsid w:val="50712F45"/>
    <w:rsid w:val="53915296"/>
    <w:rsid w:val="77F23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Indent"/>
    <w:basedOn w:val="1"/>
    <w:link w:val="22"/>
    <w:qFormat/>
    <w:uiPriority w:val="0"/>
    <w:pPr>
      <w:spacing w:line="360" w:lineRule="auto"/>
      <w:ind w:firstLine="570"/>
    </w:pPr>
    <w:rPr>
      <w:rFonts w:ascii="宋体" w:hAnsi="宋体" w:eastAsia="宋体" w:cs="Times New Roman"/>
      <w:sz w:val="24"/>
      <w:szCs w:val="28"/>
    </w:rPr>
  </w:style>
  <w:style w:type="paragraph" w:styleId="4">
    <w:name w:val="Block Text"/>
    <w:basedOn w:val="1"/>
    <w:qFormat/>
    <w:uiPriority w:val="0"/>
    <w:pPr>
      <w:spacing w:before="100" w:beforeAutospacing="1" w:after="100" w:afterAutospacing="1"/>
      <w:ind w:left="720" w:right="720"/>
    </w:pPr>
    <w:rPr>
      <w:sz w:val="18"/>
    </w:r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Plain Text"/>
    <w:basedOn w:val="1"/>
    <w:link w:val="23"/>
    <w:unhideWhenUsed/>
    <w:qFormat/>
    <w:uiPriority w:val="99"/>
    <w:pPr>
      <w:widowControl/>
    </w:pPr>
    <w:rPr>
      <w:rFonts w:ascii="宋体" w:hAnsi="宋体" w:eastAsia="宋体" w:cs="宋体"/>
      <w:kern w:val="0"/>
      <w:szCs w:val="21"/>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Body Text 2"/>
    <w:basedOn w:val="1"/>
    <w:link w:val="25"/>
    <w:semiHidden/>
    <w:unhideWhenUsed/>
    <w:qFormat/>
    <w:uiPriority w:val="99"/>
    <w:pPr>
      <w:spacing w:after="120" w:line="480" w:lineRule="auto"/>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character" w:styleId="15">
    <w:name w:val="Strong"/>
    <w:basedOn w:val="14"/>
    <w:qFormat/>
    <w:uiPriority w:val="22"/>
    <w:rPr>
      <w:b/>
      <w:bCs/>
    </w:rPr>
  </w:style>
  <w:style w:type="character" w:styleId="16">
    <w:name w:val="Hyperlink"/>
    <w:basedOn w:val="14"/>
    <w:semiHidden/>
    <w:unhideWhenUsed/>
    <w:qFormat/>
    <w:uiPriority w:val="99"/>
    <w:rPr>
      <w:color w:val="0000FF"/>
      <w:u w:val="single"/>
    </w:rPr>
  </w:style>
  <w:style w:type="table" w:styleId="18">
    <w:name w:val="Table Grid"/>
    <w:basedOn w:val="1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页眉 Char"/>
    <w:basedOn w:val="14"/>
    <w:link w:val="9"/>
    <w:semiHidden/>
    <w:uiPriority w:val="99"/>
    <w:rPr>
      <w:sz w:val="18"/>
      <w:szCs w:val="18"/>
    </w:rPr>
  </w:style>
  <w:style w:type="character" w:customStyle="1" w:styleId="20">
    <w:name w:val="页脚 Char"/>
    <w:basedOn w:val="14"/>
    <w:link w:val="8"/>
    <w:uiPriority w:val="99"/>
    <w:rPr>
      <w:sz w:val="18"/>
      <w:szCs w:val="18"/>
    </w:rPr>
  </w:style>
  <w:style w:type="paragraph" w:styleId="21">
    <w:name w:val="List Paragraph"/>
    <w:basedOn w:val="1"/>
    <w:qFormat/>
    <w:uiPriority w:val="34"/>
    <w:pPr>
      <w:ind w:firstLine="420" w:firstLineChars="200"/>
    </w:pPr>
  </w:style>
  <w:style w:type="character" w:customStyle="1" w:styleId="22">
    <w:name w:val="正文文本缩进 Char"/>
    <w:basedOn w:val="14"/>
    <w:link w:val="3"/>
    <w:uiPriority w:val="0"/>
    <w:rPr>
      <w:rFonts w:ascii="宋体" w:hAnsi="宋体" w:eastAsia="宋体" w:cs="Times New Roman"/>
      <w:sz w:val="24"/>
      <w:szCs w:val="28"/>
    </w:rPr>
  </w:style>
  <w:style w:type="character" w:customStyle="1" w:styleId="23">
    <w:name w:val="纯文本 Char"/>
    <w:basedOn w:val="14"/>
    <w:link w:val="6"/>
    <w:uiPriority w:val="99"/>
    <w:rPr>
      <w:rFonts w:ascii="宋体" w:hAnsi="宋体" w:eastAsia="宋体" w:cs="宋体"/>
      <w:kern w:val="0"/>
      <w:szCs w:val="21"/>
    </w:rPr>
  </w:style>
  <w:style w:type="character" w:customStyle="1" w:styleId="24">
    <w:name w:val="批注框文本 Char"/>
    <w:basedOn w:val="14"/>
    <w:link w:val="7"/>
    <w:semiHidden/>
    <w:uiPriority w:val="99"/>
    <w:rPr>
      <w:sz w:val="18"/>
      <w:szCs w:val="18"/>
    </w:rPr>
  </w:style>
  <w:style w:type="character" w:customStyle="1" w:styleId="25">
    <w:name w:val="正文文本 2 Char"/>
    <w:basedOn w:val="14"/>
    <w:link w:val="12"/>
    <w:semiHidden/>
    <w:uiPriority w:val="99"/>
  </w:style>
  <w:style w:type="paragraph" w:customStyle="1" w:styleId="26">
    <w:name w:val="列出段落2"/>
    <w:basedOn w:val="1"/>
    <w:qFormat/>
    <w:uiPriority w:val="99"/>
    <w:pPr>
      <w:ind w:firstLine="420" w:firstLineChars="200"/>
    </w:pPr>
    <w:rPr>
      <w:rFonts w:ascii="Calibri" w:hAnsi="Calibri" w:eastAsia="宋体" w:cs="黑体"/>
    </w:rPr>
  </w:style>
  <w:style w:type="character" w:customStyle="1" w:styleId="27">
    <w:name w:val="标题 1 Char"/>
    <w:basedOn w:val="14"/>
    <w:link w:val="2"/>
    <w:uiPriority w:val="9"/>
    <w:rPr>
      <w:b/>
      <w:bCs/>
      <w:kern w:val="44"/>
      <w:sz w:val="44"/>
      <w:szCs w:val="44"/>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C2FDED-FE58-42EC-BEF2-9C1F739BCCDF}" type="doc">
      <dgm:prSet loTypeId="urn:microsoft.com/office/officeart/2005/8/layout/cycle2" loCatId="cycle" qsTypeId="urn:microsoft.com/office/officeart/2005/8/quickstyle/simple1" qsCatId="simple" csTypeId="urn:microsoft.com/office/officeart/2005/8/colors/accent1_2" csCatId="accent1" phldr="1"/>
      <dgm:spPr/>
      <dgm:t>
        <a:bodyPr/>
        <a:p>
          <a:endParaRPr lang="zh-CN" altLang="en-US"/>
        </a:p>
      </dgm:t>
    </dgm:pt>
    <dgm:pt modelId="{EADCD425-76CD-4FCA-8624-9366BD11E5C0}">
      <dgm:prSet phldrT="[文本]"/>
      <dgm:spPr/>
      <dgm:t>
        <a:bodyPr/>
        <a:p>
          <a:r>
            <a:rPr lang="zh-CN" altLang="en-US"/>
            <a:t>责任东渡</a:t>
          </a:r>
        </a:p>
      </dgm:t>
    </dgm:pt>
    <dgm:pt modelId="{A72F2A76-1148-40F1-B6C3-8F68E561186F}" cxnId="{321F542C-9B22-437E-80EC-067B93767834}" type="parTrans">
      <dgm:prSet/>
      <dgm:spPr/>
      <dgm:t>
        <a:bodyPr/>
        <a:p>
          <a:endParaRPr lang="zh-CN" altLang="en-US"/>
        </a:p>
      </dgm:t>
    </dgm:pt>
    <dgm:pt modelId="{1104034A-48C3-44F9-9F85-ED33D6191519}" cxnId="{321F542C-9B22-437E-80EC-067B93767834}" type="sibTrans">
      <dgm:prSet/>
      <dgm:spPr/>
      <dgm:t>
        <a:bodyPr/>
        <a:p>
          <a:endParaRPr lang="zh-CN" altLang="en-US"/>
        </a:p>
      </dgm:t>
    </dgm:pt>
    <dgm:pt modelId="{A3EC2DBB-7F28-482C-A047-8B3B6E89895D}">
      <dgm:prSet phldrT="[文本]"/>
      <dgm:spPr/>
      <dgm:t>
        <a:bodyPr/>
        <a:p>
          <a:r>
            <a:rPr lang="zh-CN" altLang="en-US"/>
            <a:t>价值东渡</a:t>
          </a:r>
        </a:p>
      </dgm:t>
    </dgm:pt>
    <dgm:pt modelId="{28953EE9-CF71-4294-ACAE-0B3D3CC22AC8}" cxnId="{B7D32B13-DEB1-4158-9FC6-76836A8B57E9}" type="parTrans">
      <dgm:prSet/>
      <dgm:spPr/>
      <dgm:t>
        <a:bodyPr/>
        <a:p>
          <a:endParaRPr lang="zh-CN" altLang="en-US"/>
        </a:p>
      </dgm:t>
    </dgm:pt>
    <dgm:pt modelId="{5EB0101D-B039-49E4-9DCF-5AE4310781FC}" cxnId="{B7D32B13-DEB1-4158-9FC6-76836A8B57E9}" type="sibTrans">
      <dgm:prSet/>
      <dgm:spPr/>
      <dgm:t>
        <a:bodyPr/>
        <a:p>
          <a:endParaRPr lang="zh-CN" altLang="en-US"/>
        </a:p>
      </dgm:t>
    </dgm:pt>
    <dgm:pt modelId="{849B932E-D8F0-4893-A5A0-343FD31A3B3A}">
      <dgm:prSet phldrT="[文本]"/>
      <dgm:spPr/>
      <dgm:t>
        <a:bodyPr/>
        <a:p>
          <a:r>
            <a:rPr lang="zh-CN" altLang="en-US"/>
            <a:t>创新东渡</a:t>
          </a:r>
        </a:p>
      </dgm:t>
    </dgm:pt>
    <dgm:pt modelId="{F1287605-BD61-44B2-8210-185F55E618C1}" cxnId="{EEE13CA8-C3AE-4031-A80D-E07E598F5CDF}" type="parTrans">
      <dgm:prSet/>
      <dgm:spPr/>
      <dgm:t>
        <a:bodyPr/>
        <a:p>
          <a:endParaRPr lang="zh-CN" altLang="en-US"/>
        </a:p>
      </dgm:t>
    </dgm:pt>
    <dgm:pt modelId="{F024F99B-6865-4755-9666-78758FF02D40}" cxnId="{EEE13CA8-C3AE-4031-A80D-E07E598F5CDF}" type="sibTrans">
      <dgm:prSet/>
      <dgm:spPr/>
      <dgm:t>
        <a:bodyPr/>
        <a:p>
          <a:endParaRPr lang="zh-CN" altLang="en-US"/>
        </a:p>
      </dgm:t>
    </dgm:pt>
    <dgm:pt modelId="{2E5C2CB3-EBC0-4F08-9728-D08A9FF79563}">
      <dgm:prSet phldrT="[文本]"/>
      <dgm:spPr/>
      <dgm:t>
        <a:bodyPr/>
        <a:p>
          <a:r>
            <a:rPr lang="zh-CN" altLang="en-US"/>
            <a:t>绿色东渡</a:t>
          </a:r>
        </a:p>
      </dgm:t>
    </dgm:pt>
    <dgm:pt modelId="{04E69C59-350C-4762-BD3D-786AA964DAC0}" cxnId="{BD3C701F-83ED-4798-802E-A3745F8F019F}" type="parTrans">
      <dgm:prSet/>
      <dgm:spPr/>
      <dgm:t>
        <a:bodyPr/>
        <a:p>
          <a:endParaRPr lang="zh-CN" altLang="en-US"/>
        </a:p>
      </dgm:t>
    </dgm:pt>
    <dgm:pt modelId="{D417E0A5-0E7D-4132-983C-0E35D530872B}" cxnId="{BD3C701F-83ED-4798-802E-A3745F8F019F}" type="sibTrans">
      <dgm:prSet/>
      <dgm:spPr/>
      <dgm:t>
        <a:bodyPr/>
        <a:p>
          <a:endParaRPr lang="zh-CN" altLang="en-US"/>
        </a:p>
      </dgm:t>
    </dgm:pt>
    <dgm:pt modelId="{477AB985-C723-4486-9305-2AF4B73CBB63}">
      <dgm:prSet phldrT="[文本]"/>
      <dgm:spPr/>
      <dgm:t>
        <a:bodyPr/>
        <a:p>
          <a:r>
            <a:rPr lang="zh-CN" altLang="en-US"/>
            <a:t>幸福东渡</a:t>
          </a:r>
        </a:p>
      </dgm:t>
    </dgm:pt>
    <dgm:pt modelId="{BCA206E6-7373-47E6-909E-B2E3DA21EB5B}" cxnId="{F2227A54-709B-4B9D-B94A-9DF573246786}" type="parTrans">
      <dgm:prSet/>
      <dgm:spPr/>
      <dgm:t>
        <a:bodyPr/>
        <a:p>
          <a:endParaRPr lang="zh-CN" altLang="en-US"/>
        </a:p>
      </dgm:t>
    </dgm:pt>
    <dgm:pt modelId="{B464A4AC-DD45-43B7-84A3-A149A9FD7C80}" cxnId="{F2227A54-709B-4B9D-B94A-9DF573246786}" type="sibTrans">
      <dgm:prSet/>
      <dgm:spPr/>
      <dgm:t>
        <a:bodyPr/>
        <a:p>
          <a:endParaRPr lang="zh-CN" altLang="en-US"/>
        </a:p>
      </dgm:t>
    </dgm:pt>
    <dgm:pt modelId="{F699E631-38B8-46AC-AE31-D21BF2050B9F}" type="pres">
      <dgm:prSet presAssocID="{8CC2FDED-FE58-42EC-BEF2-9C1F739BCCDF}" presName="cycle" presStyleCnt="0">
        <dgm:presLayoutVars>
          <dgm:dir/>
          <dgm:resizeHandles val="exact"/>
        </dgm:presLayoutVars>
      </dgm:prSet>
      <dgm:spPr/>
    </dgm:pt>
    <dgm:pt modelId="{34C7472B-E3D2-4B34-AF29-B338E44F1FCC}" type="pres">
      <dgm:prSet presAssocID="{EADCD425-76CD-4FCA-8624-9366BD11E5C0}" presName="node" presStyleLbl="node1" presStyleIdx="0" presStyleCnt="5">
        <dgm:presLayoutVars>
          <dgm:bulletEnabled val="1"/>
        </dgm:presLayoutVars>
      </dgm:prSet>
      <dgm:spPr/>
    </dgm:pt>
    <dgm:pt modelId="{7A6BE46B-1C2C-4B1C-8BB5-619CB2FFB982}" type="pres">
      <dgm:prSet presAssocID="{1104034A-48C3-44F9-9F85-ED33D6191519}" presName="sibTrans" presStyleLbl="sibTrans2D1" presStyleIdx="0" presStyleCnt="5"/>
      <dgm:spPr/>
    </dgm:pt>
    <dgm:pt modelId="{70DCDF42-8082-4860-AED3-C58BC36E4A5B}" type="pres">
      <dgm:prSet presAssocID="{1104034A-48C3-44F9-9F85-ED33D6191519}" presName="connectorText" presStyleLbl="sibTrans2D1" presStyleIdx="0" presStyleCnt="5"/>
      <dgm:spPr/>
    </dgm:pt>
    <dgm:pt modelId="{E7E983DA-6B45-4136-8E9F-AAE9BD321C6E}" type="pres">
      <dgm:prSet presAssocID="{A3EC2DBB-7F28-482C-A047-8B3B6E89895D}" presName="node" presStyleLbl="node1" presStyleIdx="1" presStyleCnt="5">
        <dgm:presLayoutVars>
          <dgm:bulletEnabled val="1"/>
        </dgm:presLayoutVars>
      </dgm:prSet>
      <dgm:spPr/>
    </dgm:pt>
    <dgm:pt modelId="{511B54D0-5567-46C0-8E5E-E079FD8A13B9}" type="pres">
      <dgm:prSet presAssocID="{5EB0101D-B039-49E4-9DCF-5AE4310781FC}" presName="sibTrans" presStyleLbl="sibTrans2D1" presStyleIdx="1" presStyleCnt="5"/>
      <dgm:spPr/>
    </dgm:pt>
    <dgm:pt modelId="{55D90CFD-696A-48EC-AD87-7BC546DEE66C}" type="pres">
      <dgm:prSet presAssocID="{5EB0101D-B039-49E4-9DCF-5AE4310781FC}" presName="connectorText" presStyleLbl="sibTrans2D1" presStyleIdx="1" presStyleCnt="5"/>
      <dgm:spPr/>
    </dgm:pt>
    <dgm:pt modelId="{DD0C39AE-1B25-4FF8-9422-0246D84FD5D1}" type="pres">
      <dgm:prSet presAssocID="{849B932E-D8F0-4893-A5A0-343FD31A3B3A}" presName="node" presStyleLbl="node1" presStyleIdx="2" presStyleCnt="5">
        <dgm:presLayoutVars>
          <dgm:bulletEnabled val="1"/>
        </dgm:presLayoutVars>
      </dgm:prSet>
      <dgm:spPr/>
    </dgm:pt>
    <dgm:pt modelId="{FF3CFC81-101B-459B-9AE6-0AE04FEB2866}" type="pres">
      <dgm:prSet presAssocID="{F024F99B-6865-4755-9666-78758FF02D40}" presName="sibTrans" presStyleLbl="sibTrans2D1" presStyleIdx="2" presStyleCnt="5"/>
      <dgm:spPr/>
    </dgm:pt>
    <dgm:pt modelId="{ABD6EE01-C0FD-45F6-B2BB-3AE4EC238D3F}" type="pres">
      <dgm:prSet presAssocID="{F024F99B-6865-4755-9666-78758FF02D40}" presName="connectorText" presStyleLbl="sibTrans2D1" presStyleIdx="2" presStyleCnt="5"/>
      <dgm:spPr/>
    </dgm:pt>
    <dgm:pt modelId="{77F26AE3-1014-40E5-9661-0436D61E5CDC}" type="pres">
      <dgm:prSet presAssocID="{2E5C2CB3-EBC0-4F08-9728-D08A9FF79563}" presName="node" presStyleLbl="node1" presStyleIdx="3" presStyleCnt="5">
        <dgm:presLayoutVars>
          <dgm:bulletEnabled val="1"/>
        </dgm:presLayoutVars>
      </dgm:prSet>
      <dgm:spPr/>
    </dgm:pt>
    <dgm:pt modelId="{9EEEDAC1-ACB2-4299-830B-791D990C9AA1}" type="pres">
      <dgm:prSet presAssocID="{D417E0A5-0E7D-4132-983C-0E35D530872B}" presName="sibTrans" presStyleLbl="sibTrans2D1" presStyleIdx="3" presStyleCnt="5"/>
      <dgm:spPr/>
    </dgm:pt>
    <dgm:pt modelId="{6E027B24-0812-4F0A-BAEC-06EFFFB6E25C}" type="pres">
      <dgm:prSet presAssocID="{D417E0A5-0E7D-4132-983C-0E35D530872B}" presName="connectorText" presStyleLbl="sibTrans2D1" presStyleIdx="3" presStyleCnt="5"/>
      <dgm:spPr/>
    </dgm:pt>
    <dgm:pt modelId="{A21E7F4D-1745-4F64-ABD2-7B54A2DA3BDF}" type="pres">
      <dgm:prSet presAssocID="{477AB985-C723-4486-9305-2AF4B73CBB63}" presName="node" presStyleLbl="node1" presStyleIdx="4" presStyleCnt="5">
        <dgm:presLayoutVars>
          <dgm:bulletEnabled val="1"/>
        </dgm:presLayoutVars>
      </dgm:prSet>
      <dgm:spPr/>
    </dgm:pt>
    <dgm:pt modelId="{0EC5DE86-EC25-4C9F-8808-AAC4EA6A43FC}" type="pres">
      <dgm:prSet presAssocID="{B464A4AC-DD45-43B7-84A3-A149A9FD7C80}" presName="sibTrans" presStyleLbl="sibTrans2D1" presStyleIdx="4" presStyleCnt="5"/>
      <dgm:spPr/>
    </dgm:pt>
    <dgm:pt modelId="{A34D8768-2765-49FB-A115-C553E7423092}" type="pres">
      <dgm:prSet presAssocID="{B464A4AC-DD45-43B7-84A3-A149A9FD7C80}" presName="connectorText" presStyleLbl="sibTrans2D1" presStyleIdx="4" presStyleCnt="5"/>
      <dgm:spPr/>
    </dgm:pt>
  </dgm:ptLst>
  <dgm:cxnLst>
    <dgm:cxn modelId="{B7D32B13-DEB1-4158-9FC6-76836A8B57E9}" srcId="{8CC2FDED-FE58-42EC-BEF2-9C1F739BCCDF}" destId="{A3EC2DBB-7F28-482C-A047-8B3B6E89895D}" srcOrd="1" destOrd="0" parTransId="{28953EE9-CF71-4294-ACAE-0B3D3CC22AC8}" sibTransId="{5EB0101D-B039-49E4-9DCF-5AE4310781FC}"/>
    <dgm:cxn modelId="{5AD05216-6F1A-4556-8511-37CDDD302870}" type="presOf" srcId="{1104034A-48C3-44F9-9F85-ED33D6191519}" destId="{7A6BE46B-1C2C-4B1C-8BB5-619CB2FFB982}" srcOrd="0" destOrd="0" presId="urn:microsoft.com/office/officeart/2005/8/layout/cycle2"/>
    <dgm:cxn modelId="{43948317-7953-4635-9DFA-3D6F0D537081}" type="presOf" srcId="{849B932E-D8F0-4893-A5A0-343FD31A3B3A}" destId="{DD0C39AE-1B25-4FF8-9422-0246D84FD5D1}" srcOrd="0" destOrd="0" presId="urn:microsoft.com/office/officeart/2005/8/layout/cycle2"/>
    <dgm:cxn modelId="{BD3C701F-83ED-4798-802E-A3745F8F019F}" srcId="{8CC2FDED-FE58-42EC-BEF2-9C1F739BCCDF}" destId="{2E5C2CB3-EBC0-4F08-9728-D08A9FF79563}" srcOrd="3" destOrd="0" parTransId="{04E69C59-350C-4762-BD3D-786AA964DAC0}" sibTransId="{D417E0A5-0E7D-4132-983C-0E35D530872B}"/>
    <dgm:cxn modelId="{321F542C-9B22-437E-80EC-067B93767834}" srcId="{8CC2FDED-FE58-42EC-BEF2-9C1F739BCCDF}" destId="{EADCD425-76CD-4FCA-8624-9366BD11E5C0}" srcOrd="0" destOrd="0" parTransId="{A72F2A76-1148-40F1-B6C3-8F68E561186F}" sibTransId="{1104034A-48C3-44F9-9F85-ED33D6191519}"/>
    <dgm:cxn modelId="{17B8503A-9688-4391-A0B2-8E5C6D827E96}" type="presOf" srcId="{D417E0A5-0E7D-4132-983C-0E35D530872B}" destId="{9EEEDAC1-ACB2-4299-830B-791D990C9AA1}" srcOrd="0" destOrd="0" presId="urn:microsoft.com/office/officeart/2005/8/layout/cycle2"/>
    <dgm:cxn modelId="{0BC7184A-8DF0-4A33-91BA-2B5A6249A4A1}" type="presOf" srcId="{F024F99B-6865-4755-9666-78758FF02D40}" destId="{ABD6EE01-C0FD-45F6-B2BB-3AE4EC238D3F}" srcOrd="1" destOrd="0" presId="urn:microsoft.com/office/officeart/2005/8/layout/cycle2"/>
    <dgm:cxn modelId="{F5FC4954-C85C-4563-B652-BF068756FFEF}" type="presOf" srcId="{2E5C2CB3-EBC0-4F08-9728-D08A9FF79563}" destId="{77F26AE3-1014-40E5-9661-0436D61E5CDC}" srcOrd="0" destOrd="0" presId="urn:microsoft.com/office/officeart/2005/8/layout/cycle2"/>
    <dgm:cxn modelId="{F2227A54-709B-4B9D-B94A-9DF573246786}" srcId="{8CC2FDED-FE58-42EC-BEF2-9C1F739BCCDF}" destId="{477AB985-C723-4486-9305-2AF4B73CBB63}" srcOrd="4" destOrd="0" parTransId="{BCA206E6-7373-47E6-909E-B2E3DA21EB5B}" sibTransId="{B464A4AC-DD45-43B7-84A3-A149A9FD7C80}"/>
    <dgm:cxn modelId="{CFCA8E54-A6F8-47E0-827D-C5AB80FC66D0}" type="presOf" srcId="{EADCD425-76CD-4FCA-8624-9366BD11E5C0}" destId="{34C7472B-E3D2-4B34-AF29-B338E44F1FCC}" srcOrd="0" destOrd="0" presId="urn:microsoft.com/office/officeart/2005/8/layout/cycle2"/>
    <dgm:cxn modelId="{1E65D193-3609-4F8E-97DD-C42C12083EB6}" type="presOf" srcId="{B464A4AC-DD45-43B7-84A3-A149A9FD7C80}" destId="{0EC5DE86-EC25-4C9F-8808-AAC4EA6A43FC}" srcOrd="0" destOrd="0" presId="urn:microsoft.com/office/officeart/2005/8/layout/cycle2"/>
    <dgm:cxn modelId="{A1F8FE9B-5F78-42EA-B114-9C6DE7C54BD7}" type="presOf" srcId="{B464A4AC-DD45-43B7-84A3-A149A9FD7C80}" destId="{A34D8768-2765-49FB-A115-C553E7423092}" srcOrd="1" destOrd="0" presId="urn:microsoft.com/office/officeart/2005/8/layout/cycle2"/>
    <dgm:cxn modelId="{CD80AFA5-1E09-4B6A-B65F-6F2435836919}" type="presOf" srcId="{477AB985-C723-4486-9305-2AF4B73CBB63}" destId="{A21E7F4D-1745-4F64-ABD2-7B54A2DA3BDF}" srcOrd="0" destOrd="0" presId="urn:microsoft.com/office/officeart/2005/8/layout/cycle2"/>
    <dgm:cxn modelId="{D59BE3A7-99BA-4576-B087-FBFA3F0AFF2A}" type="presOf" srcId="{A3EC2DBB-7F28-482C-A047-8B3B6E89895D}" destId="{E7E983DA-6B45-4136-8E9F-AAE9BD321C6E}" srcOrd="0" destOrd="0" presId="urn:microsoft.com/office/officeart/2005/8/layout/cycle2"/>
    <dgm:cxn modelId="{EEE13CA8-C3AE-4031-A80D-E07E598F5CDF}" srcId="{8CC2FDED-FE58-42EC-BEF2-9C1F739BCCDF}" destId="{849B932E-D8F0-4893-A5A0-343FD31A3B3A}" srcOrd="2" destOrd="0" parTransId="{F1287605-BD61-44B2-8210-185F55E618C1}" sibTransId="{F024F99B-6865-4755-9666-78758FF02D40}"/>
    <dgm:cxn modelId="{94C21DCD-5F5D-4C9B-827C-F56DE1F5D700}" type="presOf" srcId="{5EB0101D-B039-49E4-9DCF-5AE4310781FC}" destId="{55D90CFD-696A-48EC-AD87-7BC546DEE66C}" srcOrd="1" destOrd="0" presId="urn:microsoft.com/office/officeart/2005/8/layout/cycle2"/>
    <dgm:cxn modelId="{B8606FD1-8025-4DFC-B9F3-C8DC33105DEC}" type="presOf" srcId="{8CC2FDED-FE58-42EC-BEF2-9C1F739BCCDF}" destId="{F699E631-38B8-46AC-AE31-D21BF2050B9F}" srcOrd="0" destOrd="0" presId="urn:microsoft.com/office/officeart/2005/8/layout/cycle2"/>
    <dgm:cxn modelId="{50CF27DA-C74C-4224-9D82-63DC0C417AE6}" type="presOf" srcId="{5EB0101D-B039-49E4-9DCF-5AE4310781FC}" destId="{511B54D0-5567-46C0-8E5E-E079FD8A13B9}" srcOrd="0" destOrd="0" presId="urn:microsoft.com/office/officeart/2005/8/layout/cycle2"/>
    <dgm:cxn modelId="{D6B6F9EF-A00A-4D24-8BFE-DF3DBED09FC8}" type="presOf" srcId="{F024F99B-6865-4755-9666-78758FF02D40}" destId="{FF3CFC81-101B-459B-9AE6-0AE04FEB2866}" srcOrd="0" destOrd="0" presId="urn:microsoft.com/office/officeart/2005/8/layout/cycle2"/>
    <dgm:cxn modelId="{553D5DF4-401B-4277-9D05-3CB65EF438EF}" type="presOf" srcId="{1104034A-48C3-44F9-9F85-ED33D6191519}" destId="{70DCDF42-8082-4860-AED3-C58BC36E4A5B}" srcOrd="1" destOrd="0" presId="urn:microsoft.com/office/officeart/2005/8/layout/cycle2"/>
    <dgm:cxn modelId="{A11AEDFE-2593-4A4A-B77B-CC2A2923993F}" type="presOf" srcId="{D417E0A5-0E7D-4132-983C-0E35D530872B}" destId="{6E027B24-0812-4F0A-BAEC-06EFFFB6E25C}" srcOrd="1" destOrd="0" presId="urn:microsoft.com/office/officeart/2005/8/layout/cycle2"/>
    <dgm:cxn modelId="{249E8981-105D-4972-870D-3802884DF46D}" type="presParOf" srcId="{F699E631-38B8-46AC-AE31-D21BF2050B9F}" destId="{34C7472B-E3D2-4B34-AF29-B338E44F1FCC}" srcOrd="0" destOrd="0" presId="urn:microsoft.com/office/officeart/2005/8/layout/cycle2"/>
    <dgm:cxn modelId="{61F10C96-2791-4B8B-8384-84631DB82B5F}" type="presParOf" srcId="{F699E631-38B8-46AC-AE31-D21BF2050B9F}" destId="{7A6BE46B-1C2C-4B1C-8BB5-619CB2FFB982}" srcOrd="1" destOrd="0" presId="urn:microsoft.com/office/officeart/2005/8/layout/cycle2"/>
    <dgm:cxn modelId="{32F15F53-2D1D-4621-A7AD-CB71EF5DF3AC}" type="presParOf" srcId="{7A6BE46B-1C2C-4B1C-8BB5-619CB2FFB982}" destId="{70DCDF42-8082-4860-AED3-C58BC36E4A5B}" srcOrd="0" destOrd="0" presId="urn:microsoft.com/office/officeart/2005/8/layout/cycle2"/>
    <dgm:cxn modelId="{235FA440-F25B-41DC-BCD2-D35E29D5AA8A}" type="presParOf" srcId="{F699E631-38B8-46AC-AE31-D21BF2050B9F}" destId="{E7E983DA-6B45-4136-8E9F-AAE9BD321C6E}" srcOrd="2" destOrd="0" presId="urn:microsoft.com/office/officeart/2005/8/layout/cycle2"/>
    <dgm:cxn modelId="{27499A38-D276-4C60-BB95-3CEDAC00709C}" type="presParOf" srcId="{F699E631-38B8-46AC-AE31-D21BF2050B9F}" destId="{511B54D0-5567-46C0-8E5E-E079FD8A13B9}" srcOrd="3" destOrd="0" presId="urn:microsoft.com/office/officeart/2005/8/layout/cycle2"/>
    <dgm:cxn modelId="{AA282A81-DA94-4A23-9F65-C414DE258A91}" type="presParOf" srcId="{511B54D0-5567-46C0-8E5E-E079FD8A13B9}" destId="{55D90CFD-696A-48EC-AD87-7BC546DEE66C}" srcOrd="0" destOrd="0" presId="urn:microsoft.com/office/officeart/2005/8/layout/cycle2"/>
    <dgm:cxn modelId="{8DFBD8F8-F75A-4BC3-A543-46675CD3CA65}" type="presParOf" srcId="{F699E631-38B8-46AC-AE31-D21BF2050B9F}" destId="{DD0C39AE-1B25-4FF8-9422-0246D84FD5D1}" srcOrd="4" destOrd="0" presId="urn:microsoft.com/office/officeart/2005/8/layout/cycle2"/>
    <dgm:cxn modelId="{A9B7BB98-BAC9-4A8D-9932-80CD90AD29D5}" type="presParOf" srcId="{F699E631-38B8-46AC-AE31-D21BF2050B9F}" destId="{FF3CFC81-101B-459B-9AE6-0AE04FEB2866}" srcOrd="5" destOrd="0" presId="urn:microsoft.com/office/officeart/2005/8/layout/cycle2"/>
    <dgm:cxn modelId="{4ABBCF9A-4E79-412E-8284-8BC22C435196}" type="presParOf" srcId="{FF3CFC81-101B-459B-9AE6-0AE04FEB2866}" destId="{ABD6EE01-C0FD-45F6-B2BB-3AE4EC238D3F}" srcOrd="0" destOrd="0" presId="urn:microsoft.com/office/officeart/2005/8/layout/cycle2"/>
    <dgm:cxn modelId="{1A3198E5-AE10-4B5F-A8EB-0BFB6FEDE1AC}" type="presParOf" srcId="{F699E631-38B8-46AC-AE31-D21BF2050B9F}" destId="{77F26AE3-1014-40E5-9661-0436D61E5CDC}" srcOrd="6" destOrd="0" presId="urn:microsoft.com/office/officeart/2005/8/layout/cycle2"/>
    <dgm:cxn modelId="{44D9C64A-9E48-40D7-B452-39EE94AABBA4}" type="presParOf" srcId="{F699E631-38B8-46AC-AE31-D21BF2050B9F}" destId="{9EEEDAC1-ACB2-4299-830B-791D990C9AA1}" srcOrd="7" destOrd="0" presId="urn:microsoft.com/office/officeart/2005/8/layout/cycle2"/>
    <dgm:cxn modelId="{0ADC3188-EF33-4F1C-B345-7F7C4E7DC062}" type="presParOf" srcId="{9EEEDAC1-ACB2-4299-830B-791D990C9AA1}" destId="{6E027B24-0812-4F0A-BAEC-06EFFFB6E25C}" srcOrd="0" destOrd="0" presId="urn:microsoft.com/office/officeart/2005/8/layout/cycle2"/>
    <dgm:cxn modelId="{294E38E0-47E3-4D79-AC2D-182CF97AF90E}" type="presParOf" srcId="{F699E631-38B8-46AC-AE31-D21BF2050B9F}" destId="{A21E7F4D-1745-4F64-ABD2-7B54A2DA3BDF}" srcOrd="8" destOrd="0" presId="urn:microsoft.com/office/officeart/2005/8/layout/cycle2"/>
    <dgm:cxn modelId="{CBE0E61C-F282-4170-B664-16CB96C4CF88}" type="presParOf" srcId="{F699E631-38B8-46AC-AE31-D21BF2050B9F}" destId="{0EC5DE86-EC25-4C9F-8808-AAC4EA6A43FC}" srcOrd="9" destOrd="0" presId="urn:microsoft.com/office/officeart/2005/8/layout/cycle2"/>
    <dgm:cxn modelId="{9F3FA8FC-2884-4D06-8472-2C8F7183F4A3}" type="presParOf" srcId="{0EC5DE86-EC25-4C9F-8808-AAC4EA6A43FC}" destId="{A34D8768-2765-49FB-A115-C553E7423092}"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C7472B-E3D2-4B34-AF29-B338E44F1FCC}">
      <dsp:nvSpPr>
        <dsp:cNvPr id="0" name=""/>
        <dsp:cNvSpPr/>
      </dsp:nvSpPr>
      <dsp:spPr>
        <a:xfrm>
          <a:off x="2172304" y="359"/>
          <a:ext cx="929700" cy="929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zh-CN" altLang="en-US" sz="1900" kern="1200"/>
            <a:t>责任东渡</a:t>
          </a:r>
        </a:p>
      </dsp:txBody>
      <dsp:txXfrm>
        <a:off x="2308455" y="136510"/>
        <a:ext cx="657398" cy="657398"/>
      </dsp:txXfrm>
    </dsp:sp>
    <dsp:sp modelId="{7A6BE46B-1C2C-4B1C-8BB5-619CB2FFB982}">
      <dsp:nvSpPr>
        <dsp:cNvPr id="0" name=""/>
        <dsp:cNvSpPr/>
      </dsp:nvSpPr>
      <dsp:spPr>
        <a:xfrm rot="2160000">
          <a:off x="3072449" y="714102"/>
          <a:ext cx="246426" cy="3137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CN" altLang="en-US" sz="1100" kern="1200"/>
        </a:p>
      </dsp:txBody>
      <dsp:txXfrm>
        <a:off x="3079508" y="755130"/>
        <a:ext cx="172498" cy="188263"/>
      </dsp:txXfrm>
    </dsp:sp>
    <dsp:sp modelId="{E7E983DA-6B45-4136-8E9F-AAE9BD321C6E}">
      <dsp:nvSpPr>
        <dsp:cNvPr id="0" name=""/>
        <dsp:cNvSpPr/>
      </dsp:nvSpPr>
      <dsp:spPr>
        <a:xfrm>
          <a:off x="3300605" y="820118"/>
          <a:ext cx="929700" cy="929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zh-CN" altLang="en-US" sz="1900" kern="1200"/>
            <a:t>价值东渡</a:t>
          </a:r>
        </a:p>
      </dsp:txBody>
      <dsp:txXfrm>
        <a:off x="3436756" y="956269"/>
        <a:ext cx="657398" cy="657398"/>
      </dsp:txXfrm>
    </dsp:sp>
    <dsp:sp modelId="{511B54D0-5567-46C0-8E5E-E079FD8A13B9}">
      <dsp:nvSpPr>
        <dsp:cNvPr id="0" name=""/>
        <dsp:cNvSpPr/>
      </dsp:nvSpPr>
      <dsp:spPr>
        <a:xfrm rot="6480000">
          <a:off x="3428911" y="1784646"/>
          <a:ext cx="246426" cy="3137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CN" altLang="en-US" sz="1100" kern="1200"/>
        </a:p>
      </dsp:txBody>
      <dsp:txXfrm rot="10800000">
        <a:off x="3477298" y="1812246"/>
        <a:ext cx="172498" cy="188263"/>
      </dsp:txXfrm>
    </dsp:sp>
    <dsp:sp modelId="{DD0C39AE-1B25-4FF8-9422-0246D84FD5D1}">
      <dsp:nvSpPr>
        <dsp:cNvPr id="0" name=""/>
        <dsp:cNvSpPr/>
      </dsp:nvSpPr>
      <dsp:spPr>
        <a:xfrm>
          <a:off x="2869633" y="2146515"/>
          <a:ext cx="929700" cy="929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zh-CN" altLang="en-US" sz="1900" kern="1200"/>
            <a:t>创新东渡</a:t>
          </a:r>
        </a:p>
      </dsp:txBody>
      <dsp:txXfrm>
        <a:off x="3005784" y="2282666"/>
        <a:ext cx="657398" cy="657398"/>
      </dsp:txXfrm>
    </dsp:sp>
    <dsp:sp modelId="{FF3CFC81-101B-459B-9AE6-0AE04FEB2866}">
      <dsp:nvSpPr>
        <dsp:cNvPr id="0" name=""/>
        <dsp:cNvSpPr/>
      </dsp:nvSpPr>
      <dsp:spPr>
        <a:xfrm rot="10800000">
          <a:off x="2520915" y="2454478"/>
          <a:ext cx="246426" cy="3137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CN" altLang="en-US" sz="1100" kern="1200"/>
        </a:p>
      </dsp:txBody>
      <dsp:txXfrm rot="10800000">
        <a:off x="2594843" y="2517233"/>
        <a:ext cx="172498" cy="188263"/>
      </dsp:txXfrm>
    </dsp:sp>
    <dsp:sp modelId="{77F26AE3-1014-40E5-9661-0436D61E5CDC}">
      <dsp:nvSpPr>
        <dsp:cNvPr id="0" name=""/>
        <dsp:cNvSpPr/>
      </dsp:nvSpPr>
      <dsp:spPr>
        <a:xfrm>
          <a:off x="1474976" y="2146515"/>
          <a:ext cx="929700" cy="929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zh-CN" altLang="en-US" sz="1900" kern="1200"/>
            <a:t>绿色东渡</a:t>
          </a:r>
        </a:p>
      </dsp:txBody>
      <dsp:txXfrm>
        <a:off x="1611127" y="2282666"/>
        <a:ext cx="657398" cy="657398"/>
      </dsp:txXfrm>
    </dsp:sp>
    <dsp:sp modelId="{9EEEDAC1-ACB2-4299-830B-791D990C9AA1}">
      <dsp:nvSpPr>
        <dsp:cNvPr id="0" name=""/>
        <dsp:cNvSpPr/>
      </dsp:nvSpPr>
      <dsp:spPr>
        <a:xfrm rot="15120000">
          <a:off x="1603282" y="1797912"/>
          <a:ext cx="246426" cy="3137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CN" altLang="en-US" sz="1100" kern="1200"/>
        </a:p>
      </dsp:txBody>
      <dsp:txXfrm rot="10800000">
        <a:off x="1651669" y="1895822"/>
        <a:ext cx="172498" cy="188263"/>
      </dsp:txXfrm>
    </dsp:sp>
    <dsp:sp modelId="{A21E7F4D-1745-4F64-ABD2-7B54A2DA3BDF}">
      <dsp:nvSpPr>
        <dsp:cNvPr id="0" name=""/>
        <dsp:cNvSpPr/>
      </dsp:nvSpPr>
      <dsp:spPr>
        <a:xfrm>
          <a:off x="1044004" y="820118"/>
          <a:ext cx="929700" cy="9297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zh-CN" altLang="en-US" sz="1900" kern="1200"/>
            <a:t>幸福东渡</a:t>
          </a:r>
        </a:p>
      </dsp:txBody>
      <dsp:txXfrm>
        <a:off x="1180155" y="956269"/>
        <a:ext cx="657398" cy="657398"/>
      </dsp:txXfrm>
    </dsp:sp>
    <dsp:sp modelId="{0EC5DE86-EC25-4C9F-8808-AAC4EA6A43FC}">
      <dsp:nvSpPr>
        <dsp:cNvPr id="0" name=""/>
        <dsp:cNvSpPr/>
      </dsp:nvSpPr>
      <dsp:spPr>
        <a:xfrm rot="19440000">
          <a:off x="1944148" y="722301"/>
          <a:ext cx="246426" cy="3137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CN" altLang="en-US" sz="1100" kern="1200"/>
        </a:p>
      </dsp:txBody>
      <dsp:txXfrm>
        <a:off x="1951207" y="806783"/>
        <a:ext cx="172498" cy="18826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63FD02-E3F0-4325-8A89-FCEE8F618FBE}">
  <ds:schemaRefs/>
</ds:datastoreItem>
</file>

<file path=docProps/app.xml><?xml version="1.0" encoding="utf-8"?>
<Properties xmlns="http://schemas.openxmlformats.org/officeDocument/2006/extended-properties" xmlns:vt="http://schemas.openxmlformats.org/officeDocument/2006/docPropsVTypes">
  <Template>Normal</Template>
  <Company>雨林木风</Company>
  <Pages>1</Pages>
  <Words>1226</Words>
  <Characters>6993</Characters>
  <Lines>58</Lines>
  <Paragraphs>16</Paragraphs>
  <TotalTime>20</TotalTime>
  <ScaleCrop>false</ScaleCrop>
  <LinksUpToDate>false</LinksUpToDate>
  <CharactersWithSpaces>8203</CharactersWithSpaces>
  <Application>WPS Office_11.1.0.7867_F1E327BC-269C-435d-A152-05C5408002CA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2017-10-09T07:03:00Z</dcterms:created>
  <dc:creator>161860</dc:creator>
  <cp:lastModifiedBy>XuYan</cp:lastModifiedBy>
  <dcterms:modified xsi:type="dcterms:W3CDTF">2020-04-12T08:13:19Z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2052-11.1.0.7867</vt:lpwstr>
  </property>
</Properties>
</file>