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jc w:val="center"/>
        <w:rPr>
          <w:rFonts w:ascii="黑体" w:hAnsi="黑体" w:eastAsia="黑体"/>
          <w:sz w:val="44"/>
        </w:rPr>
      </w:pPr>
    </w:p>
    <w:p>
      <w:pPr>
        <w:spacing w:line="720" w:lineRule="auto"/>
        <w:jc w:val="center"/>
        <w:rPr>
          <w:rFonts w:ascii="黑体" w:hAnsi="黑体" w:eastAsia="黑体"/>
          <w:sz w:val="44"/>
        </w:rPr>
      </w:pPr>
      <w:r>
        <w:rPr>
          <w:rFonts w:hint="eastAsia" w:ascii="黑体" w:hAnsi="黑体" w:eastAsia="黑体"/>
          <w:sz w:val="44"/>
          <w:lang w:val="en-US" w:eastAsia="zh-CN"/>
        </w:rPr>
        <w:t>江苏东渡纺织集团</w:t>
      </w:r>
      <w:r>
        <w:rPr>
          <w:rFonts w:hint="eastAsia" w:ascii="黑体" w:hAnsi="黑体" w:eastAsia="黑体"/>
          <w:sz w:val="44"/>
        </w:rPr>
        <w:t>有限公司</w:t>
      </w:r>
    </w:p>
    <w:p>
      <w:pPr>
        <w:spacing w:line="720" w:lineRule="auto"/>
        <w:jc w:val="center"/>
        <w:rPr>
          <w:rFonts w:ascii="黑体" w:hAnsi="黑体" w:eastAsia="黑体"/>
          <w:sz w:val="44"/>
        </w:rPr>
      </w:pPr>
      <w:r>
        <w:rPr>
          <w:rFonts w:hint="eastAsia" w:ascii="黑体" w:hAnsi="黑体" w:eastAsia="黑体"/>
          <w:sz w:val="44"/>
        </w:rPr>
        <w:t>20</w:t>
      </w:r>
      <w:r>
        <w:rPr>
          <w:rFonts w:hint="eastAsia" w:ascii="黑体" w:hAnsi="黑体" w:eastAsia="黑体"/>
          <w:sz w:val="44"/>
          <w:lang w:val="en-US" w:eastAsia="zh-CN"/>
        </w:rPr>
        <w:t>22</w:t>
      </w:r>
      <w:r>
        <w:rPr>
          <w:rFonts w:hint="eastAsia" w:ascii="黑体" w:hAnsi="黑体" w:eastAsia="黑体"/>
          <w:sz w:val="44"/>
        </w:rPr>
        <w:t>年度企业社会责任报告</w:t>
      </w:r>
    </w:p>
    <w:p>
      <w:pPr>
        <w:spacing w:line="360" w:lineRule="auto"/>
        <w:jc w:val="left"/>
        <w:rPr>
          <w:rFonts w:asciiTheme="majorEastAsia" w:hAnsiTheme="majorEastAsia" w:eastAsiaTheme="majorEastAsia"/>
          <w:sz w:val="32"/>
        </w:rPr>
      </w:pPr>
      <w:r>
        <w:rPr>
          <w:rFonts w:hint="eastAsia" w:ascii="黑体" w:hAnsi="黑体" w:eastAsia="黑体"/>
          <w:sz w:val="44"/>
        </w:rPr>
        <w:drawing>
          <wp:anchor distT="0" distB="0" distL="114300" distR="114300" simplePos="0" relativeHeight="251659264" behindDoc="0" locked="0" layoutInCell="1" allowOverlap="1">
            <wp:simplePos x="0" y="0"/>
            <wp:positionH relativeFrom="column">
              <wp:posOffset>213995</wp:posOffset>
            </wp:positionH>
            <wp:positionV relativeFrom="paragraph">
              <wp:posOffset>125095</wp:posOffset>
            </wp:positionV>
            <wp:extent cx="5226685" cy="2353945"/>
            <wp:effectExtent l="0" t="0" r="5715" b="8255"/>
            <wp:wrapSquare wrapText="bothSides"/>
            <wp:docPr id="1" name="图片 1" descr="D:\ShareCache\集团照片\公司照片\新总部外景.jpg新总部外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ShareCache\集团照片\公司照片\新总部外景.jpg新总部外景"/>
                    <pic:cNvPicPr>
                      <a:picLocks noChangeAspect="1" noChangeArrowheads="1"/>
                    </pic:cNvPicPr>
                  </pic:nvPicPr>
                  <pic:blipFill>
                    <a:blip r:embed="rId6"/>
                    <a:srcRect/>
                    <a:stretch>
                      <a:fillRect/>
                    </a:stretch>
                  </pic:blipFill>
                  <pic:spPr>
                    <a:xfrm>
                      <a:off x="0" y="0"/>
                      <a:ext cx="5226685" cy="2353945"/>
                    </a:xfrm>
                    <a:prstGeom prst="rect">
                      <a:avLst/>
                    </a:prstGeom>
                    <a:noFill/>
                    <a:ln w="9525">
                      <a:noFill/>
                      <a:miter lim="800000"/>
                      <a:headEnd/>
                      <a:tailEnd/>
                    </a:ln>
                  </pic:spPr>
                </pic:pic>
              </a:graphicData>
            </a:graphic>
          </wp:anchor>
        </w:drawing>
      </w:r>
    </w:p>
    <w:p>
      <w:pPr>
        <w:spacing w:line="360" w:lineRule="auto"/>
        <w:jc w:val="left"/>
        <w:rPr>
          <w:rFonts w:asciiTheme="majorEastAsia" w:hAnsiTheme="majorEastAsia" w:eastAsiaTheme="majorEastAsia"/>
          <w:sz w:val="32"/>
        </w:rPr>
      </w:pPr>
    </w:p>
    <w:p>
      <w:pPr>
        <w:spacing w:line="360" w:lineRule="auto"/>
        <w:jc w:val="left"/>
        <w:rPr>
          <w:rFonts w:asciiTheme="majorEastAsia" w:hAnsiTheme="majorEastAsia" w:eastAsiaTheme="majorEastAsia"/>
          <w:sz w:val="32"/>
        </w:rPr>
      </w:pPr>
    </w:p>
    <w:p>
      <w:pPr>
        <w:spacing w:line="360" w:lineRule="auto"/>
        <w:jc w:val="left"/>
        <w:rPr>
          <w:rFonts w:asciiTheme="majorEastAsia" w:hAnsiTheme="majorEastAsia" w:eastAsiaTheme="majorEastAsia"/>
          <w:sz w:val="32"/>
        </w:rPr>
        <w:sectPr>
          <w:footerReference r:id="rId3" w:type="default"/>
          <w:pgSz w:w="11906" w:h="16838"/>
          <w:pgMar w:top="1440" w:right="1800" w:bottom="1440" w:left="1800" w:header="851" w:footer="992" w:gutter="0"/>
          <w:cols w:space="425" w:num="1"/>
          <w:docGrid w:type="lines" w:linePitch="312" w:charSpace="0"/>
        </w:sectPr>
      </w:pPr>
    </w:p>
    <w:p>
      <w:pPr>
        <w:tabs>
          <w:tab w:val="left" w:pos="2110"/>
        </w:tabs>
        <w:spacing w:line="360" w:lineRule="auto"/>
        <w:rPr>
          <w:rFonts w:asciiTheme="majorEastAsia" w:hAnsiTheme="majorEastAsia" w:eastAsiaTheme="majorEastAsia"/>
          <w:b/>
          <w:sz w:val="32"/>
        </w:rPr>
      </w:pPr>
      <w:r>
        <w:rPr>
          <w:rFonts w:hint="eastAsia" w:asciiTheme="majorEastAsia" w:hAnsiTheme="majorEastAsia" w:eastAsiaTheme="majorEastAsia"/>
          <w:b/>
          <w:sz w:val="32"/>
        </w:rPr>
        <w:t>关于本报告</w:t>
      </w:r>
      <w:r>
        <w:rPr>
          <w:rFonts w:asciiTheme="majorEastAsia" w:hAnsiTheme="majorEastAsia" w:eastAsiaTheme="majorEastAsia"/>
          <w:b/>
          <w:sz w:val="32"/>
        </w:rPr>
        <w:tab/>
      </w:r>
    </w:p>
    <w:p>
      <w:pPr>
        <w:spacing w:line="360" w:lineRule="auto"/>
        <w:rPr>
          <w:rFonts w:asciiTheme="majorEastAsia" w:hAnsiTheme="majorEastAsia" w:eastAsiaTheme="majorEastAsia"/>
          <w:sz w:val="24"/>
        </w:rPr>
      </w:pPr>
    </w:p>
    <w:p>
      <w:pPr>
        <w:spacing w:line="360" w:lineRule="auto"/>
        <w:rPr>
          <w:rFonts w:asciiTheme="majorEastAsia" w:hAnsiTheme="majorEastAsia" w:eastAsiaTheme="majorEastAsia"/>
          <w:sz w:val="24"/>
        </w:rPr>
        <w:sectPr>
          <w:type w:val="continuous"/>
          <w:pgSz w:w="11906" w:h="16838"/>
          <w:pgMar w:top="1440" w:right="1800" w:bottom="1440" w:left="1800" w:header="851" w:footer="992" w:gutter="0"/>
          <w:cols w:space="425" w:num="1"/>
          <w:docGrid w:type="lines" w:linePitch="312" w:charSpace="0"/>
        </w:sectPr>
      </w:pPr>
    </w:p>
    <w:p>
      <w:pPr>
        <w:spacing w:line="360"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报告时间范围：2</w:t>
      </w:r>
      <w:r>
        <w:rPr>
          <w:rFonts w:hint="eastAsia" w:asciiTheme="majorEastAsia" w:hAnsiTheme="majorEastAsia" w:eastAsiaTheme="majorEastAsia"/>
          <w:sz w:val="24"/>
          <w:lang w:val="en-US" w:eastAsia="zh-CN"/>
        </w:rPr>
        <w:t>022</w:t>
      </w:r>
      <w:r>
        <w:rPr>
          <w:rFonts w:hint="eastAsia" w:asciiTheme="majorEastAsia" w:hAnsiTheme="majorEastAsia" w:eastAsiaTheme="majorEastAsia"/>
          <w:sz w:val="24"/>
        </w:rPr>
        <w:t>年1月1日至20</w:t>
      </w:r>
      <w:r>
        <w:rPr>
          <w:rFonts w:hint="eastAsia" w:asciiTheme="majorEastAsia" w:hAnsiTheme="majorEastAsia" w:eastAsiaTheme="majorEastAsia"/>
          <w:sz w:val="24"/>
          <w:lang w:val="en-US" w:eastAsia="zh-CN"/>
        </w:rPr>
        <w:t>22</w:t>
      </w:r>
      <w:r>
        <w:rPr>
          <w:rFonts w:hint="eastAsia" w:asciiTheme="majorEastAsia" w:hAnsiTheme="majorEastAsia" w:eastAsiaTheme="majorEastAsia"/>
          <w:sz w:val="24"/>
        </w:rPr>
        <w:t>年12月31日，部分内容适当追溯到以往年份。</w:t>
      </w:r>
    </w:p>
    <w:p>
      <w:pPr>
        <w:spacing w:line="360" w:lineRule="auto"/>
        <w:ind w:firstLine="480" w:firstLineChars="200"/>
        <w:rPr>
          <w:rFonts w:asciiTheme="majorEastAsia" w:hAnsiTheme="majorEastAsia" w:eastAsiaTheme="majorEastAsia"/>
          <w:sz w:val="24"/>
        </w:rPr>
      </w:pPr>
    </w:p>
    <w:p>
      <w:pPr>
        <w:spacing w:line="360"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报告组织范围：</w:t>
      </w:r>
      <w:r>
        <w:rPr>
          <w:rFonts w:hint="eastAsia" w:asciiTheme="majorEastAsia" w:hAnsiTheme="majorEastAsia" w:eastAsiaTheme="majorEastAsia"/>
          <w:sz w:val="24"/>
          <w:lang w:val="en-US" w:eastAsia="zh-CN"/>
        </w:rPr>
        <w:t>江苏东渡纺织集</w:t>
      </w:r>
    </w:p>
    <w:p>
      <w:pPr>
        <w:spacing w:line="360" w:lineRule="auto"/>
        <w:ind w:firstLine="480" w:firstLineChars="200"/>
        <w:rPr>
          <w:rFonts w:hint="eastAsia"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t>团</w:t>
      </w:r>
      <w:r>
        <w:rPr>
          <w:rFonts w:hint="eastAsia" w:asciiTheme="majorEastAsia" w:hAnsiTheme="majorEastAsia" w:eastAsiaTheme="majorEastAsia"/>
          <w:sz w:val="24"/>
        </w:rPr>
        <w:t>有限公司，部分内容涉及</w:t>
      </w:r>
      <w:r>
        <w:rPr>
          <w:rFonts w:hint="eastAsia" w:asciiTheme="majorEastAsia" w:hAnsiTheme="majorEastAsia" w:eastAsiaTheme="majorEastAsia"/>
          <w:sz w:val="24"/>
          <w:lang w:val="en-US" w:eastAsia="zh-CN"/>
        </w:rPr>
        <w:t>江苏东源纺织科技实业有限公司</w:t>
      </w:r>
    </w:p>
    <w:p>
      <w:pPr>
        <w:spacing w:line="360" w:lineRule="auto"/>
        <w:ind w:firstLine="480" w:firstLineChars="200"/>
        <w:rPr>
          <w:rFonts w:asciiTheme="majorEastAsia" w:hAnsiTheme="majorEastAsia" w:eastAsiaTheme="majorEastAsia"/>
          <w:sz w:val="24"/>
        </w:rPr>
        <w:sectPr>
          <w:type w:val="continuous"/>
          <w:pgSz w:w="11906" w:h="16838"/>
          <w:pgMar w:top="1440" w:right="1800" w:bottom="1440" w:left="1800" w:header="851" w:footer="992" w:gutter="0"/>
          <w:cols w:space="425" w:num="2"/>
          <w:docGrid w:type="lines" w:linePitch="312" w:charSpace="0"/>
        </w:sectPr>
      </w:pPr>
    </w:p>
    <w:p>
      <w:pPr>
        <w:spacing w:line="360" w:lineRule="auto"/>
        <w:ind w:firstLine="480" w:firstLineChars="200"/>
        <w:rPr>
          <w:rFonts w:asciiTheme="majorEastAsia" w:hAnsiTheme="majorEastAsia" w:eastAsiaTheme="majorEastAsia"/>
          <w:sz w:val="24"/>
        </w:rPr>
      </w:pPr>
    </w:p>
    <w:p>
      <w:pPr>
        <w:spacing w:line="360" w:lineRule="auto"/>
        <w:jc w:val="center"/>
        <w:rPr>
          <w:rFonts w:asciiTheme="majorEastAsia" w:hAnsiTheme="majorEastAsia" w:eastAsiaTheme="majorEastAsia"/>
          <w:sz w:val="32"/>
        </w:rPr>
      </w:pPr>
    </w:p>
    <w:p>
      <w:pPr>
        <w:spacing w:line="360" w:lineRule="auto"/>
        <w:ind w:firstLine="2240" w:firstLineChars="700"/>
        <w:jc w:val="left"/>
        <w:rPr>
          <w:rFonts w:asciiTheme="majorEastAsia" w:hAnsiTheme="majorEastAsia" w:eastAsiaTheme="majorEastAsia"/>
          <w:sz w:val="32"/>
        </w:rPr>
      </w:pPr>
      <w:r>
        <w:rPr>
          <w:rFonts w:hint="eastAsia" w:asciiTheme="majorEastAsia" w:hAnsiTheme="majorEastAsia" w:eastAsiaTheme="majorEastAsia"/>
          <w:sz w:val="32"/>
        </w:rPr>
        <w:t>编制单位：</w:t>
      </w:r>
      <w:r>
        <w:rPr>
          <w:rFonts w:hint="eastAsia" w:asciiTheme="majorEastAsia" w:hAnsiTheme="majorEastAsia" w:eastAsiaTheme="majorEastAsia"/>
          <w:sz w:val="32"/>
          <w:lang w:val="en-US" w:eastAsia="zh-CN"/>
        </w:rPr>
        <w:t>江苏东渡纺织集团</w:t>
      </w:r>
      <w:r>
        <w:rPr>
          <w:rFonts w:hint="eastAsia" w:asciiTheme="majorEastAsia" w:hAnsiTheme="majorEastAsia" w:eastAsiaTheme="majorEastAsia"/>
          <w:sz w:val="32"/>
        </w:rPr>
        <w:t>有限公司</w:t>
      </w:r>
    </w:p>
    <w:p>
      <w:pPr>
        <w:spacing w:line="360" w:lineRule="auto"/>
        <w:ind w:firstLine="2240" w:firstLineChars="700"/>
        <w:jc w:val="left"/>
        <w:rPr>
          <w:rFonts w:asciiTheme="majorEastAsia" w:hAnsiTheme="majorEastAsia" w:eastAsiaTheme="majorEastAsia"/>
          <w:sz w:val="32"/>
        </w:rPr>
        <w:sectPr>
          <w:type w:val="continuous"/>
          <w:pgSz w:w="11906" w:h="16838"/>
          <w:pgMar w:top="1440" w:right="1800" w:bottom="1440" w:left="1800" w:header="851" w:footer="992" w:gutter="0"/>
          <w:cols w:space="425" w:num="1"/>
          <w:docGrid w:type="lines" w:linePitch="312" w:charSpace="0"/>
        </w:sectPr>
      </w:pPr>
      <w:r>
        <w:rPr>
          <w:rFonts w:hint="eastAsia" w:asciiTheme="majorEastAsia" w:hAnsiTheme="majorEastAsia" w:eastAsiaTheme="majorEastAsia"/>
          <w:sz w:val="32"/>
        </w:rPr>
        <w:t>编制日期：20</w:t>
      </w:r>
      <w:r>
        <w:rPr>
          <w:rFonts w:hint="eastAsia" w:asciiTheme="majorEastAsia" w:hAnsiTheme="majorEastAsia" w:eastAsiaTheme="majorEastAsia"/>
          <w:sz w:val="32"/>
          <w:lang w:val="en-US" w:eastAsia="zh-CN"/>
        </w:rPr>
        <w:t>22</w:t>
      </w:r>
      <w:r>
        <w:rPr>
          <w:rFonts w:hint="eastAsia" w:asciiTheme="majorEastAsia" w:hAnsiTheme="majorEastAsia" w:eastAsiaTheme="majorEastAsia"/>
          <w:sz w:val="32"/>
        </w:rPr>
        <w:t>年3月</w:t>
      </w:r>
    </w:p>
    <w:p>
      <w:pPr>
        <w:spacing w:line="720" w:lineRule="auto"/>
        <w:jc w:val="center"/>
        <w:rPr>
          <w:rFonts w:hint="eastAsia" w:ascii="黑体" w:hAnsi="黑体" w:eastAsia="黑体"/>
          <w:sz w:val="48"/>
          <w:szCs w:val="28"/>
        </w:rPr>
      </w:pPr>
    </w:p>
    <w:p>
      <w:pPr>
        <w:spacing w:line="720" w:lineRule="auto"/>
        <w:jc w:val="center"/>
        <w:rPr>
          <w:rFonts w:hint="eastAsia" w:ascii="黑体" w:hAnsi="黑体" w:eastAsia="黑体"/>
          <w:sz w:val="48"/>
          <w:szCs w:val="28"/>
        </w:rPr>
      </w:pPr>
      <w:r>
        <w:rPr>
          <w:rFonts w:hint="eastAsia" w:ascii="黑体" w:hAnsi="黑体" w:eastAsia="黑体"/>
          <w:sz w:val="48"/>
          <w:szCs w:val="28"/>
        </w:rPr>
        <w:t>目  录</w:t>
      </w:r>
    </w:p>
    <w:p>
      <w:pPr>
        <w:pStyle w:val="2"/>
        <w:rPr>
          <w:rFonts w:hint="eastAsia"/>
          <w:lang w:eastAsia="zh-CN"/>
        </w:rPr>
      </w:pPr>
    </w:p>
    <w:p>
      <w:pPr>
        <w:spacing w:line="720" w:lineRule="auto"/>
        <w:rPr>
          <w:rFonts w:asciiTheme="minorEastAsia" w:hAnsiTheme="minorEastAsia"/>
          <w:sz w:val="36"/>
          <w:szCs w:val="28"/>
        </w:rPr>
      </w:pPr>
      <w:r>
        <w:rPr>
          <w:rFonts w:hint="eastAsia" w:asciiTheme="minorEastAsia" w:hAnsiTheme="minorEastAsia"/>
          <w:sz w:val="36"/>
          <w:szCs w:val="28"/>
        </w:rPr>
        <w:t>01  公司简介</w:t>
      </w:r>
    </w:p>
    <w:p>
      <w:pPr>
        <w:spacing w:line="720" w:lineRule="auto"/>
        <w:rPr>
          <w:rFonts w:asciiTheme="minorEastAsia" w:hAnsiTheme="minorEastAsia"/>
          <w:sz w:val="36"/>
          <w:szCs w:val="28"/>
        </w:rPr>
      </w:pPr>
      <w:r>
        <w:rPr>
          <w:rFonts w:hint="eastAsia" w:asciiTheme="minorEastAsia" w:hAnsiTheme="minorEastAsia"/>
          <w:sz w:val="36"/>
          <w:szCs w:val="28"/>
        </w:rPr>
        <w:t>02  企业文化</w:t>
      </w:r>
    </w:p>
    <w:p>
      <w:pPr>
        <w:spacing w:line="720" w:lineRule="auto"/>
        <w:rPr>
          <w:rFonts w:asciiTheme="minorEastAsia" w:hAnsiTheme="minorEastAsia"/>
          <w:sz w:val="36"/>
          <w:szCs w:val="28"/>
        </w:rPr>
      </w:pPr>
      <w:r>
        <w:rPr>
          <w:rFonts w:hint="eastAsia" w:asciiTheme="minorEastAsia" w:hAnsiTheme="minorEastAsia"/>
          <w:sz w:val="36"/>
          <w:szCs w:val="28"/>
        </w:rPr>
        <w:t>03  发展战略</w:t>
      </w:r>
    </w:p>
    <w:p>
      <w:pPr>
        <w:spacing w:line="720" w:lineRule="auto"/>
        <w:rPr>
          <w:rFonts w:asciiTheme="minorEastAsia" w:hAnsiTheme="minorEastAsia"/>
          <w:sz w:val="22"/>
          <w:szCs w:val="28"/>
        </w:rPr>
      </w:pPr>
      <w:r>
        <w:rPr>
          <w:rFonts w:hint="eastAsia" w:asciiTheme="minorEastAsia" w:hAnsiTheme="minorEastAsia"/>
          <w:sz w:val="36"/>
          <w:szCs w:val="28"/>
        </w:rPr>
        <w:t>0</w:t>
      </w:r>
      <w:r>
        <w:rPr>
          <w:rFonts w:hint="eastAsia" w:asciiTheme="minorEastAsia" w:hAnsiTheme="minorEastAsia"/>
          <w:sz w:val="36"/>
          <w:szCs w:val="28"/>
          <w:lang w:val="en-US" w:eastAsia="zh-CN"/>
        </w:rPr>
        <w:t>4</w:t>
      </w:r>
      <w:r>
        <w:rPr>
          <w:rFonts w:hint="eastAsia" w:asciiTheme="minorEastAsia" w:hAnsiTheme="minorEastAsia"/>
          <w:sz w:val="36"/>
          <w:szCs w:val="28"/>
        </w:rPr>
        <w:t xml:space="preserve">  责任</w:t>
      </w:r>
      <w:r>
        <w:rPr>
          <w:rFonts w:hint="eastAsia" w:asciiTheme="minorEastAsia" w:hAnsiTheme="minorEastAsia"/>
          <w:sz w:val="36"/>
          <w:szCs w:val="28"/>
          <w:lang w:val="en-US" w:eastAsia="zh-CN"/>
        </w:rPr>
        <w:t>东渡</w:t>
      </w:r>
    </w:p>
    <w:p>
      <w:pPr>
        <w:spacing w:line="720" w:lineRule="auto"/>
        <w:rPr>
          <w:rFonts w:hint="default" w:asciiTheme="minorEastAsia" w:hAnsiTheme="minorEastAsia" w:eastAsiaTheme="minorEastAsia"/>
          <w:sz w:val="28"/>
          <w:szCs w:val="28"/>
          <w:lang w:val="en-US" w:eastAsia="zh-CN"/>
        </w:rPr>
        <w:sectPr>
          <w:footerReference r:id="rId4" w:type="default"/>
          <w:pgSz w:w="11906" w:h="16838"/>
          <w:pgMar w:top="1440" w:right="1800" w:bottom="1440" w:left="1800" w:header="851" w:footer="992" w:gutter="0"/>
          <w:pgNumType w:start="1"/>
          <w:cols w:space="425" w:num="1"/>
          <w:docGrid w:type="lines" w:linePitch="312" w:charSpace="0"/>
        </w:sectPr>
      </w:pPr>
      <w:r>
        <w:rPr>
          <w:rFonts w:hint="eastAsia" w:asciiTheme="minorEastAsia" w:hAnsiTheme="minorEastAsia"/>
          <w:sz w:val="36"/>
          <w:szCs w:val="28"/>
          <w:lang w:val="en-US" w:eastAsia="zh-CN"/>
        </w:rPr>
        <w:t>05</w:t>
      </w:r>
      <w:r>
        <w:rPr>
          <w:rFonts w:hint="eastAsia" w:asciiTheme="minorEastAsia" w:hAnsiTheme="minorEastAsia"/>
          <w:sz w:val="36"/>
          <w:szCs w:val="28"/>
        </w:rPr>
        <w:t xml:space="preserve">  展望20</w:t>
      </w:r>
      <w:r>
        <w:rPr>
          <w:rFonts w:hint="eastAsia" w:asciiTheme="minorEastAsia" w:hAnsiTheme="minorEastAsia"/>
          <w:sz w:val="36"/>
          <w:szCs w:val="28"/>
          <w:lang w:val="en-US" w:eastAsia="zh-CN"/>
        </w:rPr>
        <w:t>23</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hint="eastAsia" w:ascii="仿宋" w:hAnsi="仿宋" w:eastAsia="仿宋" w:cs="Times New Roman"/>
          <w:b/>
          <w:bCs/>
          <w:sz w:val="30"/>
          <w:szCs w:val="30"/>
        </w:rPr>
      </w:pPr>
      <w:r>
        <w:rPr>
          <w:rFonts w:hint="eastAsia" w:ascii="仿宋" w:hAnsi="仿宋" w:eastAsia="仿宋" w:cs="Times New Roman"/>
          <w:b/>
          <w:bCs/>
          <w:sz w:val="30"/>
          <w:szCs w:val="30"/>
        </w:rPr>
        <w:t>一、公司简介</w:t>
      </w:r>
    </w:p>
    <w:p>
      <w:pPr>
        <w:keepNext w:val="0"/>
        <w:keepLines w:val="0"/>
        <w:pageBreakBefore w:val="0"/>
        <w:widowControl w:val="0"/>
        <w:kinsoku/>
        <w:wordWrap/>
        <w:overflowPunct/>
        <w:topLinePunct w:val="0"/>
        <w:autoSpaceDE/>
        <w:autoSpaceDN/>
        <w:bidi w:val="0"/>
        <w:adjustRightInd/>
        <w:snapToGrid/>
        <w:spacing w:line="500" w:lineRule="exact"/>
        <w:ind w:firstLine="560"/>
        <w:textAlignment w:val="auto"/>
        <w:rPr>
          <w:rFonts w:ascii="仿宋" w:hAnsi="仿宋" w:eastAsia="仿宋" w:cs="Times New Roman"/>
          <w:sz w:val="30"/>
          <w:szCs w:val="30"/>
        </w:rPr>
      </w:pPr>
      <w:r>
        <w:rPr>
          <w:rFonts w:hint="eastAsia" w:ascii="仿宋" w:hAnsi="仿宋" w:eastAsia="仿宋" w:cs="Times New Roman"/>
          <w:sz w:val="30"/>
          <w:szCs w:val="30"/>
        </w:rPr>
        <w:t>江苏</w:t>
      </w:r>
      <w:r>
        <w:rPr>
          <w:rFonts w:ascii="仿宋" w:hAnsi="仿宋" w:eastAsia="仿宋" w:cs="Times New Roman"/>
          <w:sz w:val="30"/>
          <w:szCs w:val="30"/>
        </w:rPr>
        <w:t>东渡</w:t>
      </w:r>
      <w:r>
        <w:rPr>
          <w:rFonts w:hint="eastAsia" w:ascii="仿宋" w:hAnsi="仿宋" w:eastAsia="仿宋" w:cs="Times New Roman"/>
          <w:sz w:val="30"/>
          <w:szCs w:val="30"/>
        </w:rPr>
        <w:t>纺织集团有限</w:t>
      </w:r>
      <w:r>
        <w:rPr>
          <w:rFonts w:ascii="仿宋" w:hAnsi="仿宋" w:eastAsia="仿宋" w:cs="Times New Roman"/>
          <w:sz w:val="30"/>
          <w:szCs w:val="30"/>
        </w:rPr>
        <w:t>公司</w:t>
      </w:r>
      <w:r>
        <w:rPr>
          <w:rFonts w:hint="eastAsia" w:ascii="仿宋" w:hAnsi="仿宋" w:eastAsia="仿宋" w:cs="Times New Roman"/>
          <w:sz w:val="30"/>
          <w:szCs w:val="30"/>
        </w:rPr>
        <w:t>创建于1956年，1999年转制为新型的股份制民营企业。经过60多年的积累和努力，已经发展成为以研发、品牌、制造、物流为主体，面料、服装及相关配套生产为主线，集织造、染色、绣花、印花、成衣一条龙服务，科、工、贸为一体的大型纺织企业。自主品牌“伊思贝得”获中国驰名商标、江苏省重点出口名牌等荣誉称号。目前东渡</w:t>
      </w:r>
      <w:r>
        <w:rPr>
          <w:rFonts w:ascii="仿宋" w:hAnsi="仿宋" w:eastAsia="仿宋" w:cs="Times New Roman"/>
          <w:sz w:val="30"/>
          <w:szCs w:val="30"/>
        </w:rPr>
        <w:t>集团</w:t>
      </w:r>
      <w:r>
        <w:rPr>
          <w:rFonts w:hint="eastAsia" w:ascii="仿宋" w:hAnsi="仿宋" w:eastAsia="仿宋" w:cs="Times New Roman"/>
          <w:sz w:val="30"/>
          <w:szCs w:val="30"/>
        </w:rPr>
        <w:t>形成了“公司总部及产品研发、信息化管控、智能制造、自主品牌和高科技精品面料制造业在张家港本土，贸易、财务、投资中心在新加坡，制造基地分布在东南亚和境内苏南、苏中、苏北地区，销售市场分布在欧美、澳洲、东南亚等二十多个国家和地区”的国际化格局。</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_GB2312" w:eastAsia="仿宋_GB2312"/>
          <w:sz w:val="30"/>
          <w:szCs w:val="30"/>
        </w:rPr>
      </w:pPr>
      <w:r>
        <w:rPr>
          <w:rFonts w:hint="eastAsia" w:ascii="仿宋_GB2312" w:eastAsia="仿宋_GB2312"/>
          <w:sz w:val="30"/>
          <w:szCs w:val="30"/>
        </w:rPr>
        <w:t xml:space="preserve">   </w:t>
      </w:r>
      <w:r>
        <w:rPr>
          <w:rFonts w:hint="eastAsia" w:ascii="仿宋_GB2312" w:eastAsia="仿宋_GB2312"/>
          <w:sz w:val="30"/>
          <w:szCs w:val="30"/>
          <w:lang w:val="en-US" w:eastAsia="zh-CN"/>
        </w:rPr>
        <w:t xml:space="preserve">  </w:t>
      </w:r>
      <w:r>
        <w:rPr>
          <w:rFonts w:ascii="仿宋" w:hAnsi="仿宋" w:eastAsia="仿宋" w:cs="Times New Roman"/>
          <w:sz w:val="30"/>
          <w:szCs w:val="30"/>
        </w:rPr>
        <w:t>2020</w:t>
      </w:r>
      <w:r>
        <w:rPr>
          <w:rFonts w:hint="eastAsia" w:ascii="仿宋" w:hAnsi="仿宋" w:eastAsia="仿宋" w:cs="Times New Roman"/>
          <w:sz w:val="30"/>
          <w:szCs w:val="30"/>
          <w:lang w:val="en-US" w:eastAsia="zh-CN"/>
        </w:rPr>
        <w:t>-2022</w:t>
      </w:r>
      <w:r>
        <w:rPr>
          <w:rFonts w:hint="eastAsia" w:ascii="仿宋" w:hAnsi="仿宋" w:eastAsia="仿宋" w:cs="Times New Roman"/>
          <w:sz w:val="30"/>
          <w:szCs w:val="30"/>
        </w:rPr>
        <w:t>年集团</w:t>
      </w:r>
      <w:r>
        <w:rPr>
          <w:rFonts w:hint="eastAsia" w:ascii="仿宋" w:hAnsi="仿宋" w:eastAsia="仿宋" w:cs="Times New Roman"/>
          <w:sz w:val="30"/>
          <w:szCs w:val="30"/>
          <w:lang w:eastAsia="zh-CN"/>
        </w:rPr>
        <w:t>连续</w:t>
      </w:r>
      <w:r>
        <w:rPr>
          <w:rFonts w:hint="eastAsia" w:ascii="仿宋" w:hAnsi="仿宋" w:eastAsia="仿宋" w:cs="Times New Roman"/>
          <w:sz w:val="30"/>
          <w:szCs w:val="30"/>
          <w:lang w:val="en-US" w:eastAsia="zh-CN"/>
        </w:rPr>
        <w:t>三年</w:t>
      </w:r>
      <w:r>
        <w:rPr>
          <w:rFonts w:hint="eastAsia" w:ascii="仿宋" w:hAnsi="仿宋" w:eastAsia="仿宋" w:cs="Times New Roman"/>
          <w:sz w:val="30"/>
          <w:szCs w:val="30"/>
        </w:rPr>
        <w:t>获评“中国民营企业500强”</w:t>
      </w:r>
      <w:r>
        <w:rPr>
          <w:rFonts w:hint="eastAsia" w:ascii="仿宋" w:hAnsi="仿宋" w:eastAsia="仿宋" w:cs="Times New Roman"/>
          <w:sz w:val="30"/>
          <w:szCs w:val="30"/>
          <w:lang w:eastAsia="zh-CN"/>
        </w:rPr>
        <w:t>，还获评</w:t>
      </w:r>
      <w:r>
        <w:rPr>
          <w:rFonts w:hint="eastAsia" w:ascii="仿宋" w:hAnsi="仿宋" w:eastAsia="仿宋" w:cs="Times New Roman"/>
          <w:sz w:val="30"/>
          <w:szCs w:val="30"/>
        </w:rPr>
        <w:t>“中国民营企业制造业500强”“中国纺织行业百强企业”“中国工业企业质量标杆”“国家级两化融合贯标试点企业”“纺织行业智能制造试点示范企业”“中国质量诚信企业”“全国纺织行业质量奖”“全国纺织行业管理创新成果大奖”“绿色发展领跑者企业”“纺织行业水效领跑者企业”“纺织行业绿色发展企业”“江苏省智能制造示范车间”“江苏省工业互联网标杆工厂”“江苏省五星级数字企业”</w:t>
      </w:r>
      <w:r>
        <w:rPr>
          <w:rFonts w:hint="eastAsia" w:ascii="仿宋" w:hAnsi="仿宋" w:eastAsia="仿宋" w:cs="Times New Roman"/>
          <w:sz w:val="30"/>
          <w:szCs w:val="30"/>
          <w:lang w:eastAsia="zh-CN"/>
        </w:rPr>
        <w:t>“</w:t>
      </w:r>
      <w:r>
        <w:rPr>
          <w:rFonts w:hint="eastAsia" w:ascii="仿宋" w:hAnsi="仿宋" w:eastAsia="仿宋" w:cs="Times New Roman"/>
          <w:sz w:val="30"/>
          <w:szCs w:val="30"/>
          <w:lang w:val="en-US" w:eastAsia="zh-CN"/>
        </w:rPr>
        <w:t>苏州市环保示范性企业</w:t>
      </w:r>
      <w:r>
        <w:rPr>
          <w:rFonts w:hint="eastAsia" w:ascii="仿宋" w:hAnsi="仿宋" w:eastAsia="仿宋" w:cs="Times New Roman"/>
          <w:sz w:val="30"/>
          <w:szCs w:val="30"/>
          <w:lang w:eastAsia="zh-CN"/>
        </w:rPr>
        <w:t>”</w:t>
      </w:r>
      <w:r>
        <w:rPr>
          <w:rFonts w:hint="eastAsia" w:ascii="仿宋" w:hAnsi="仿宋" w:eastAsia="仿宋" w:cs="Times New Roman"/>
          <w:sz w:val="30"/>
          <w:szCs w:val="30"/>
        </w:rPr>
        <w:t>等荣誉称号。</w:t>
      </w:r>
      <w:r>
        <w:rPr>
          <w:rFonts w:hint="eastAsia" w:ascii="仿宋_GB2312" w:eastAsia="仿宋_GB2312"/>
          <w:sz w:val="30"/>
          <w:szCs w:val="30"/>
        </w:rPr>
        <w:t xml:space="preserve"> </w:t>
      </w:r>
    </w:p>
    <w:p>
      <w:pPr>
        <w:spacing w:line="520" w:lineRule="exact"/>
        <w:ind w:firstLine="560"/>
        <w:rPr>
          <w:rFonts w:ascii="方正仿宋_GBK" w:hAnsi="宋体" w:eastAsia="方正仿宋_GBK" w:cs="宋体"/>
          <w:kern w:val="0"/>
          <w:sz w:val="28"/>
          <w:szCs w:val="28"/>
        </w:rPr>
      </w:pPr>
      <w:r>
        <w:rPr>
          <w:rFonts w:hint="eastAsia" w:ascii="仿宋_GB2312" w:eastAsia="仿宋_GB2312"/>
          <w:sz w:val="30"/>
          <w:szCs w:val="30"/>
          <w:lang w:val="en-US" w:eastAsia="zh-CN"/>
        </w:rPr>
        <w:t>作为全球化运营的中国民营企业，公司一直以来朝着“</w:t>
      </w:r>
      <w:r>
        <w:rPr>
          <w:rFonts w:hint="eastAsia" w:ascii="仿宋" w:hAnsi="仿宋" w:eastAsia="仿宋" w:cs="宋体"/>
          <w:color w:val="000000"/>
          <w:kern w:val="0"/>
          <w:sz w:val="28"/>
          <w:szCs w:val="28"/>
        </w:rPr>
        <w:t>百年东渡、百亿销售、百年品牌</w:t>
      </w:r>
      <w:r>
        <w:rPr>
          <w:rFonts w:hint="eastAsia" w:ascii="仿宋_GB2312" w:eastAsia="仿宋_GB2312"/>
          <w:sz w:val="30"/>
          <w:szCs w:val="30"/>
          <w:lang w:val="en-US" w:eastAsia="zh-CN"/>
        </w:rPr>
        <w:t>”的长远发展目标全力迈进，我们立志通过自己的努力，提高自主创新能力，实现纺织服装的“中国制造”向“中国创造”迈进，这是东渡的发展愿景，更是作为中国民营企业500强不容推卸的责任。</w:t>
      </w:r>
    </w:p>
    <w:p>
      <w:pPr>
        <w:spacing w:line="520" w:lineRule="exact"/>
        <w:ind w:firstLine="560"/>
        <w:rPr>
          <w:rFonts w:asciiTheme="minorEastAsia" w:hAnsiTheme="minorEastAsia"/>
          <w:sz w:val="28"/>
          <w:szCs w:val="28"/>
        </w:rPr>
      </w:pPr>
    </w:p>
    <w:p>
      <w:pPr>
        <w:spacing w:line="520" w:lineRule="exact"/>
        <w:ind w:firstLine="560"/>
        <w:rPr>
          <w:rFonts w:asciiTheme="minorEastAsia" w:hAnsiTheme="minorEastAsia"/>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firstLine="602" w:firstLineChars="200"/>
        <w:jc w:val="left"/>
        <w:textAlignment w:val="auto"/>
        <w:rPr>
          <w:rFonts w:hint="eastAsia" w:ascii="仿宋" w:hAnsi="仿宋" w:eastAsia="仿宋" w:cs="Times New Roman"/>
          <w:b/>
          <w:bCs/>
          <w:sz w:val="30"/>
          <w:szCs w:val="30"/>
        </w:rPr>
      </w:pPr>
      <w:r>
        <w:rPr>
          <w:rFonts w:hint="eastAsia" w:ascii="仿宋" w:hAnsi="仿宋" w:eastAsia="仿宋" w:cs="Times New Roman"/>
          <w:b/>
          <w:bCs/>
          <w:sz w:val="30"/>
          <w:szCs w:val="30"/>
        </w:rPr>
        <w:t>二、企业文化</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jc w:val="left"/>
        <w:textAlignment w:val="auto"/>
        <w:rPr>
          <w:rFonts w:hint="eastAsia" w:ascii="仿宋" w:hAnsi="仿宋" w:eastAsia="仿宋" w:cs="Times New Roman"/>
          <w:sz w:val="30"/>
          <w:szCs w:val="30"/>
        </w:rPr>
      </w:pPr>
      <w:r>
        <w:rPr>
          <w:rFonts w:hint="eastAsia" w:ascii="仿宋" w:hAnsi="仿宋" w:eastAsia="仿宋" w:cs="Times New Roman"/>
          <w:sz w:val="30"/>
          <w:szCs w:val="30"/>
          <w:lang w:val="en-US" w:eastAsia="zh-CN"/>
        </w:rPr>
        <w:t>公司一直坚持以人为本的理念，使员工的个人价值观和企业价值观得到统一，秉承着“团结、忠诚、创新、务实”的企业精神，逐步在激烈的市场竞争中脱颖而出。这不仅是东渡立业之基，更是未来不懈追求的坚定信念。我们立志通过自己的努力，为提升全球范围内“中国制造”的形象做出贡献，并赢得世界的尊重。</w:t>
      </w:r>
    </w:p>
    <w:p>
      <w:pPr>
        <w:pStyle w:val="7"/>
        <w:numPr>
          <w:ilvl w:val="0"/>
          <w:numId w:val="0"/>
        </w:numPr>
        <w:spacing w:line="440" w:lineRule="exact"/>
        <w:ind w:left="413" w:leftChars="0"/>
        <w:rPr>
          <w:rFonts w:hint="eastAsia" w:ascii="仿宋" w:hAnsi="仿宋" w:eastAsia="仿宋" w:cs="Times New Roman"/>
          <w:b/>
          <w:bCs/>
          <w:kern w:val="2"/>
          <w:sz w:val="30"/>
          <w:szCs w:val="30"/>
          <w:lang w:val="en-US" w:eastAsia="zh-CN" w:bidi="ar-SA"/>
        </w:rPr>
      </w:pPr>
    </w:p>
    <w:p>
      <w:pPr>
        <w:pStyle w:val="7"/>
        <w:numPr>
          <w:ilvl w:val="0"/>
          <w:numId w:val="0"/>
        </w:numPr>
        <w:spacing w:line="440" w:lineRule="exact"/>
        <w:ind w:firstLine="602" w:firstLineChars="200"/>
        <w:rPr>
          <w:rFonts w:hint="eastAsia" w:ascii="仿宋" w:hAnsi="仿宋" w:eastAsia="仿宋" w:cs="Times New Roman"/>
          <w:b/>
          <w:bCs/>
          <w:kern w:val="2"/>
          <w:sz w:val="30"/>
          <w:szCs w:val="30"/>
          <w:lang w:val="en-US" w:eastAsia="zh-CN" w:bidi="ar-SA"/>
        </w:rPr>
      </w:pPr>
      <w:r>
        <w:rPr>
          <w:rFonts w:hint="eastAsia" w:ascii="仿宋" w:hAnsi="仿宋" w:eastAsia="仿宋" w:cs="Times New Roman"/>
          <w:b/>
          <w:bCs/>
          <w:kern w:val="2"/>
          <w:sz w:val="30"/>
          <w:szCs w:val="30"/>
          <w:lang w:val="en-US" w:eastAsia="zh-CN" w:bidi="ar-SA"/>
        </w:rPr>
        <w:t>企业精神： 团结　忠诚　创新　务实</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jc w:val="left"/>
        <w:textAlignment w:val="auto"/>
        <w:rPr>
          <w:rFonts w:hint="eastAsia" w:ascii="仿宋" w:hAnsi="仿宋" w:eastAsia="仿宋" w:cs="Times New Roman"/>
          <w:kern w:val="2"/>
          <w:sz w:val="30"/>
          <w:szCs w:val="30"/>
          <w:lang w:val="en-US" w:eastAsia="zh-CN" w:bidi="ar-SA"/>
        </w:rPr>
      </w:pPr>
      <w:r>
        <w:rPr>
          <w:rFonts w:hint="eastAsia" w:ascii="仿宋" w:hAnsi="仿宋" w:eastAsia="仿宋" w:cs="Times New Roman"/>
          <w:kern w:val="2"/>
          <w:sz w:val="30"/>
          <w:szCs w:val="30"/>
          <w:lang w:val="en-US" w:eastAsia="zh-CN" w:bidi="ar-SA"/>
        </w:rPr>
        <w:t>团结――拧成一股绳，心往一处想、劲往一处使，大事讲原则、小事讲风格，顾全大局、荣辱与共、和睦相处。始终保持振奋的精神状态，饱满的工作热情。</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jc w:val="left"/>
        <w:textAlignment w:val="auto"/>
        <w:rPr>
          <w:rFonts w:hint="eastAsia" w:ascii="仿宋" w:hAnsi="仿宋" w:eastAsia="仿宋" w:cs="Times New Roman"/>
          <w:kern w:val="2"/>
          <w:sz w:val="30"/>
          <w:szCs w:val="30"/>
          <w:lang w:val="en-US" w:eastAsia="zh-CN" w:bidi="ar-SA"/>
        </w:rPr>
      </w:pPr>
      <w:r>
        <w:rPr>
          <w:rFonts w:hint="eastAsia" w:ascii="仿宋" w:hAnsi="仿宋" w:eastAsia="仿宋" w:cs="Times New Roman"/>
          <w:kern w:val="2"/>
          <w:sz w:val="30"/>
          <w:szCs w:val="30"/>
          <w:lang w:val="en-US" w:eastAsia="zh-CN" w:bidi="ar-SA"/>
        </w:rPr>
        <w:t>忠诚――忠诚事业，爱厂爱岗，对待工作尽心尽责、事事到位，具备良好的职业道德；做人处事有徳有礼，表里如一，相互尊重，创造和谐。</w:t>
      </w:r>
    </w:p>
    <w:p>
      <w:pPr>
        <w:spacing w:line="500" w:lineRule="exact"/>
        <w:ind w:firstLine="600" w:firstLineChars="200"/>
        <w:rPr>
          <w:rFonts w:hint="eastAsia" w:ascii="仿宋" w:hAnsi="仿宋" w:eastAsia="仿宋" w:cs="Times New Roman"/>
          <w:kern w:val="2"/>
          <w:sz w:val="30"/>
          <w:szCs w:val="30"/>
          <w:lang w:val="en-US" w:eastAsia="zh-CN" w:bidi="ar-SA"/>
        </w:rPr>
      </w:pPr>
      <w:r>
        <w:rPr>
          <w:rFonts w:hint="eastAsia" w:ascii="仿宋" w:hAnsi="仿宋" w:eastAsia="仿宋" w:cs="Times New Roman"/>
          <w:kern w:val="2"/>
          <w:sz w:val="30"/>
          <w:szCs w:val="30"/>
          <w:lang w:val="en-US" w:eastAsia="zh-CN" w:bidi="ar-SA"/>
        </w:rPr>
        <w:t>创新——不断研究新情况，解决新问题，精心研究新技术、推广新工艺，开发新产品，开辟新境界，创造新业绩，紧跟形势，勇于开拓，知难而进，始终站在发展的最前列。</w:t>
      </w:r>
    </w:p>
    <w:p>
      <w:pPr>
        <w:spacing w:line="500" w:lineRule="exact"/>
        <w:ind w:firstLine="600" w:firstLineChars="200"/>
        <w:rPr>
          <w:rFonts w:hint="eastAsia" w:ascii="仿宋" w:hAnsi="仿宋" w:eastAsia="仿宋" w:cs="Times New Roman"/>
          <w:kern w:val="2"/>
          <w:sz w:val="30"/>
          <w:szCs w:val="30"/>
          <w:lang w:val="en-US" w:eastAsia="zh-CN" w:bidi="ar-SA"/>
        </w:rPr>
      </w:pPr>
      <w:r>
        <w:rPr>
          <w:rFonts w:hint="eastAsia" w:ascii="仿宋" w:hAnsi="仿宋" w:eastAsia="仿宋" w:cs="Times New Roman"/>
          <w:kern w:val="2"/>
          <w:sz w:val="30"/>
          <w:szCs w:val="30"/>
          <w:lang w:val="en-US" w:eastAsia="zh-CN" w:bidi="ar-SA"/>
        </w:rPr>
        <w:t>务实——做任何一项工作，都扎扎实实、实事求是，说实话、办实事、求实效，艰苦奋斗，励精图治，有强烈的事业心，高度的责任感，勤政廉洁、兢兢业业。</w:t>
      </w:r>
    </w:p>
    <w:p>
      <w:pPr>
        <w:pStyle w:val="7"/>
        <w:spacing w:line="440" w:lineRule="exact"/>
        <w:rPr>
          <w:rFonts w:hint="eastAsia" w:ascii="仿宋" w:hAnsi="仿宋" w:eastAsia="仿宋" w:cs="Times New Roman"/>
          <w:kern w:val="2"/>
          <w:sz w:val="30"/>
          <w:szCs w:val="30"/>
          <w:lang w:val="en-US" w:eastAsia="zh-CN" w:bidi="ar-SA"/>
        </w:rPr>
      </w:pPr>
    </w:p>
    <w:p>
      <w:pPr>
        <w:pStyle w:val="7"/>
        <w:numPr>
          <w:ilvl w:val="0"/>
          <w:numId w:val="0"/>
        </w:numPr>
        <w:spacing w:line="440" w:lineRule="exact"/>
        <w:ind w:firstLine="602" w:firstLineChars="200"/>
        <w:rPr>
          <w:rFonts w:hint="eastAsia" w:ascii="仿宋" w:hAnsi="仿宋" w:eastAsia="仿宋" w:cs="Times New Roman"/>
          <w:b/>
          <w:bCs/>
          <w:kern w:val="2"/>
          <w:sz w:val="30"/>
          <w:szCs w:val="30"/>
          <w:lang w:val="en-US" w:eastAsia="zh-CN" w:bidi="ar-SA"/>
        </w:rPr>
      </w:pPr>
      <w:r>
        <w:rPr>
          <w:rFonts w:hint="eastAsia" w:ascii="仿宋" w:hAnsi="仿宋" w:eastAsia="仿宋" w:cs="Times New Roman"/>
          <w:b/>
          <w:bCs/>
          <w:kern w:val="2"/>
          <w:sz w:val="30"/>
          <w:szCs w:val="30"/>
          <w:lang w:val="en-US" w:eastAsia="zh-CN" w:bidi="ar-SA"/>
        </w:rPr>
        <w:t>企业方针是：“诚信为本、顾客至上、求实创新、持续改进”</w:t>
      </w:r>
    </w:p>
    <w:p>
      <w:pPr>
        <w:spacing w:line="500" w:lineRule="exact"/>
        <w:ind w:firstLine="600" w:firstLineChars="200"/>
        <w:rPr>
          <w:rFonts w:hint="eastAsia" w:ascii="仿宋" w:hAnsi="仿宋" w:eastAsia="仿宋" w:cs="Times New Roman"/>
          <w:kern w:val="2"/>
          <w:sz w:val="30"/>
          <w:szCs w:val="30"/>
          <w:lang w:val="en-US" w:eastAsia="zh-CN" w:bidi="ar-SA"/>
        </w:rPr>
      </w:pPr>
      <w:r>
        <w:rPr>
          <w:rFonts w:hint="eastAsia" w:ascii="仿宋" w:hAnsi="仿宋" w:eastAsia="仿宋" w:cs="Times New Roman"/>
          <w:kern w:val="2"/>
          <w:sz w:val="30"/>
          <w:szCs w:val="30"/>
          <w:lang w:val="en-US" w:eastAsia="zh-CN" w:bidi="ar-SA"/>
        </w:rPr>
        <w:t>诚信为本――开展诚信道德教育、增强全员诚信意识、培育企业诚信品牌、实现人际关系诚信交往、产品生产的诚信质量、市场流通的诚信贸易、资金往来的诚信践诺、环保国策的诚信实施。</w:t>
      </w:r>
    </w:p>
    <w:p>
      <w:pPr>
        <w:spacing w:line="500" w:lineRule="exact"/>
        <w:ind w:firstLine="600" w:firstLineChars="200"/>
        <w:rPr>
          <w:rFonts w:hint="eastAsia" w:ascii="仿宋" w:hAnsi="仿宋" w:eastAsia="仿宋" w:cs="Times New Roman"/>
          <w:kern w:val="2"/>
          <w:sz w:val="30"/>
          <w:szCs w:val="30"/>
          <w:lang w:val="en-US" w:eastAsia="zh-CN" w:bidi="ar-SA"/>
        </w:rPr>
      </w:pPr>
      <w:r>
        <w:rPr>
          <w:rFonts w:hint="eastAsia" w:ascii="仿宋" w:hAnsi="仿宋" w:eastAsia="仿宋" w:cs="Times New Roman"/>
          <w:kern w:val="2"/>
          <w:sz w:val="30"/>
          <w:szCs w:val="30"/>
          <w:lang w:val="en-US" w:eastAsia="zh-CN" w:bidi="ar-SA"/>
        </w:rPr>
        <w:t>顾客至上―― 树立客户就是上帝的思想，一切从满足客户需要出发，保证客户满意是我们思想和行为的准则。求实创新――踏实认真，以人为本，不断改良、创新、提高产品质量，用过硬的产品质量、真诚的服务质量赢得市场、赢得客户，回报社会。</w:t>
      </w:r>
    </w:p>
    <w:p>
      <w:pPr>
        <w:spacing w:line="500" w:lineRule="exact"/>
        <w:ind w:firstLine="600" w:firstLineChars="200"/>
        <w:rPr>
          <w:rFonts w:hint="eastAsia" w:ascii="仿宋" w:hAnsi="仿宋" w:eastAsia="仿宋" w:cs="Times New Roman"/>
          <w:kern w:val="2"/>
          <w:sz w:val="30"/>
          <w:szCs w:val="30"/>
          <w:lang w:val="en-US" w:eastAsia="zh-CN" w:bidi="ar-SA"/>
        </w:rPr>
      </w:pPr>
      <w:r>
        <w:rPr>
          <w:rFonts w:hint="eastAsia" w:ascii="仿宋" w:hAnsi="仿宋" w:eastAsia="仿宋" w:cs="Times New Roman"/>
          <w:kern w:val="2"/>
          <w:sz w:val="30"/>
          <w:szCs w:val="30"/>
          <w:lang w:val="en-US" w:eastAsia="zh-CN" w:bidi="ar-SA"/>
        </w:rPr>
        <w:t>持续改进――适应新形势、学习新经验、坚持高标准、不断修正和完善自我，永续经营、永续发展。</w:t>
      </w:r>
    </w:p>
    <w:p>
      <w:pPr>
        <w:pStyle w:val="7"/>
        <w:spacing w:line="440" w:lineRule="exact"/>
        <w:rPr>
          <w:rFonts w:hint="eastAsia" w:ascii="仿宋" w:hAnsi="仿宋" w:eastAsia="仿宋" w:cs="Times New Roman"/>
          <w:kern w:val="2"/>
          <w:sz w:val="30"/>
          <w:szCs w:val="30"/>
          <w:lang w:val="en-US" w:eastAsia="zh-CN" w:bidi="ar-SA"/>
        </w:rPr>
      </w:pPr>
    </w:p>
    <w:p>
      <w:pPr>
        <w:spacing w:line="500" w:lineRule="exact"/>
        <w:ind w:firstLine="602" w:firstLineChars="200"/>
        <w:rPr>
          <w:rFonts w:hint="eastAsia" w:ascii="仿宋" w:hAnsi="仿宋" w:eastAsia="仿宋" w:cs="Times New Roman"/>
          <w:b/>
          <w:bCs/>
          <w:kern w:val="2"/>
          <w:sz w:val="30"/>
          <w:szCs w:val="30"/>
          <w:lang w:val="en-US" w:eastAsia="zh-CN" w:bidi="ar-SA"/>
        </w:rPr>
      </w:pPr>
      <w:r>
        <w:rPr>
          <w:rFonts w:hint="eastAsia" w:ascii="仿宋" w:hAnsi="仿宋" w:eastAsia="仿宋" w:cs="Times New Roman"/>
          <w:b/>
          <w:bCs/>
          <w:kern w:val="2"/>
          <w:sz w:val="30"/>
          <w:szCs w:val="30"/>
          <w:lang w:val="en-US" w:eastAsia="zh-CN" w:bidi="ar-SA"/>
        </w:rPr>
        <w:t>三、发展战略</w:t>
      </w:r>
    </w:p>
    <w:p>
      <w:pPr>
        <w:spacing w:line="500" w:lineRule="exact"/>
        <w:ind w:firstLine="600" w:firstLineChars="200"/>
        <w:rPr>
          <w:rFonts w:hint="eastAsia" w:ascii="仿宋" w:hAnsi="仿宋" w:eastAsia="仿宋" w:cs="Times New Roman"/>
          <w:kern w:val="2"/>
          <w:sz w:val="30"/>
          <w:szCs w:val="30"/>
          <w:lang w:val="en-US" w:eastAsia="zh-CN" w:bidi="ar-SA"/>
        </w:rPr>
      </w:pPr>
      <w:r>
        <w:rPr>
          <w:rFonts w:hint="eastAsia" w:ascii="仿宋" w:hAnsi="仿宋" w:eastAsia="仿宋" w:cs="Times New Roman"/>
          <w:kern w:val="2"/>
          <w:sz w:val="30"/>
          <w:szCs w:val="30"/>
          <w:lang w:val="en-US" w:eastAsia="zh-CN" w:bidi="ar-SA"/>
        </w:rPr>
        <w:t>持续创新战略。注重驱动创新发展，加大技术创新、管理创新和商业模式创新的力度，促进技术创新、管理创新和商业模式创新的有机融合，发挥集成创新的“倍增效益”。</w:t>
      </w:r>
    </w:p>
    <w:p>
      <w:pPr>
        <w:spacing w:line="500" w:lineRule="exact"/>
        <w:ind w:firstLine="600" w:firstLineChars="200"/>
        <w:rPr>
          <w:rFonts w:hint="eastAsia" w:ascii="仿宋" w:hAnsi="仿宋" w:eastAsia="仿宋" w:cs="Times New Roman"/>
          <w:kern w:val="2"/>
          <w:sz w:val="30"/>
          <w:szCs w:val="30"/>
          <w:lang w:val="en-US" w:eastAsia="zh-CN" w:bidi="ar-SA"/>
        </w:rPr>
      </w:pPr>
      <w:r>
        <w:rPr>
          <w:rFonts w:hint="eastAsia" w:ascii="仿宋" w:hAnsi="仿宋" w:eastAsia="仿宋" w:cs="Times New Roman"/>
          <w:kern w:val="2"/>
          <w:sz w:val="30"/>
          <w:szCs w:val="30"/>
          <w:lang w:val="en-US" w:eastAsia="zh-CN" w:bidi="ar-SA"/>
        </w:rPr>
        <w:t>人才强企战略。以培养和造就结构优化、布局合理、素质优良的人才队伍为目的，确立人才竞争优势，以一流员工队伍打造一流企业。</w:t>
      </w:r>
    </w:p>
    <w:p>
      <w:pPr>
        <w:spacing w:line="500" w:lineRule="exact"/>
        <w:ind w:firstLine="600" w:firstLineChars="200"/>
        <w:rPr>
          <w:rFonts w:hint="eastAsia" w:ascii="仿宋" w:hAnsi="仿宋" w:eastAsia="仿宋" w:cs="Times New Roman"/>
          <w:kern w:val="2"/>
          <w:sz w:val="30"/>
          <w:szCs w:val="30"/>
          <w:lang w:val="en-US" w:eastAsia="zh-CN" w:bidi="ar-SA"/>
        </w:rPr>
      </w:pPr>
      <w:r>
        <w:rPr>
          <w:rFonts w:hint="eastAsia" w:ascii="仿宋" w:hAnsi="仿宋" w:eastAsia="仿宋" w:cs="Times New Roman"/>
          <w:kern w:val="2"/>
          <w:sz w:val="30"/>
          <w:szCs w:val="30"/>
          <w:lang w:val="en-US" w:eastAsia="zh-CN" w:bidi="ar-SA"/>
        </w:rPr>
        <w:t>品牌提升战略。健全品牌管理制度，搭建品牌管理平台，形成科学、系统的品牌管理体系，发掘和提升品牌核心价值，以品牌促进企业发展，形成品牌经营与提高集团核心竞争力的良好互动关系，创造更多的超额价值。</w:t>
      </w:r>
    </w:p>
    <w:p>
      <w:pPr>
        <w:spacing w:line="520" w:lineRule="exact"/>
        <w:ind w:firstLine="560"/>
        <w:rPr>
          <w:rFonts w:hint="eastAsia" w:ascii="仿宋_GB2312" w:eastAsia="仿宋_GB2312"/>
          <w:sz w:val="30"/>
          <w:szCs w:val="30"/>
          <w:lang w:val="en-US" w:eastAsia="zh-CN"/>
        </w:rPr>
      </w:pPr>
    </w:p>
    <w:p>
      <w:pPr>
        <w:spacing w:line="500" w:lineRule="exact"/>
        <w:ind w:firstLine="602" w:firstLineChars="200"/>
        <w:rPr>
          <w:rFonts w:hint="eastAsia" w:ascii="仿宋" w:hAnsi="仿宋" w:eastAsia="仿宋" w:cs="Times New Roman"/>
          <w:b/>
          <w:bCs/>
          <w:kern w:val="2"/>
          <w:sz w:val="30"/>
          <w:szCs w:val="30"/>
          <w:lang w:val="en-US" w:eastAsia="zh-CN" w:bidi="ar-SA"/>
        </w:rPr>
      </w:pPr>
      <w:r>
        <w:rPr>
          <w:rFonts w:hint="eastAsia" w:ascii="仿宋" w:hAnsi="仿宋" w:eastAsia="仿宋" w:cs="Times New Roman"/>
          <w:b/>
          <w:bCs/>
          <w:kern w:val="2"/>
          <w:sz w:val="30"/>
          <w:szCs w:val="30"/>
          <w:lang w:val="en-US" w:eastAsia="zh-CN" w:bidi="ar-SA"/>
        </w:rPr>
        <w:t>四、责任专题</w:t>
      </w:r>
    </w:p>
    <w:p>
      <w:pPr>
        <w:spacing w:line="500" w:lineRule="exact"/>
        <w:ind w:firstLine="600" w:firstLineChars="200"/>
        <w:rPr>
          <w:rFonts w:hint="eastAsia" w:ascii="仿宋" w:hAnsi="仿宋" w:eastAsia="仿宋" w:cs="Times New Roman"/>
          <w:kern w:val="2"/>
          <w:sz w:val="30"/>
          <w:szCs w:val="30"/>
          <w:u w:val="single"/>
          <w:lang w:val="en-US" w:eastAsia="zh-CN" w:bidi="ar-SA"/>
        </w:rPr>
      </w:pPr>
      <w:r>
        <w:rPr>
          <w:rFonts w:hint="eastAsia" w:ascii="仿宋" w:hAnsi="仿宋" w:eastAsia="仿宋" w:cs="Times New Roman"/>
          <w:kern w:val="2"/>
          <w:sz w:val="30"/>
          <w:szCs w:val="30"/>
          <w:u w:val="single"/>
          <w:lang w:val="en-US" w:eastAsia="zh-CN" w:bidi="ar-SA"/>
        </w:rPr>
        <w:t>责任东渡——提升责任管理</w:t>
      </w:r>
    </w:p>
    <w:p>
      <w:pPr>
        <w:spacing w:line="500" w:lineRule="exact"/>
        <w:ind w:firstLine="600" w:firstLineChars="200"/>
        <w:rPr>
          <w:rFonts w:hint="eastAsia" w:ascii="仿宋" w:hAnsi="仿宋" w:eastAsia="仿宋" w:cs="Times New Roman"/>
          <w:kern w:val="2"/>
          <w:sz w:val="30"/>
          <w:szCs w:val="30"/>
          <w:lang w:val="en-US" w:eastAsia="zh-CN" w:bidi="ar-SA"/>
        </w:rPr>
      </w:pPr>
      <w:r>
        <w:rPr>
          <w:rFonts w:hint="eastAsia" w:ascii="仿宋" w:hAnsi="仿宋" w:eastAsia="仿宋" w:cs="Times New Roman"/>
          <w:kern w:val="2"/>
          <w:sz w:val="30"/>
          <w:szCs w:val="30"/>
          <w:lang w:val="en-US" w:eastAsia="zh-CN" w:bidi="ar-SA"/>
        </w:rPr>
        <w:t>加强社会责任管理是适应国内社会责任发展趋势的需要，是落实公司发展战略的内在要求。东渡高度重视社会责任管理工作，以创造经济、社会和环境综合价值为目标，不断优化社会责任管理模型，健全社会责任组织管理体系，强化利益相关方管理，推动社会责任和企业经营深度融合。</w:t>
      </w:r>
    </w:p>
    <w:p>
      <w:pPr>
        <w:spacing w:line="500" w:lineRule="exact"/>
        <w:ind w:firstLine="600" w:firstLineChars="200"/>
        <w:rPr>
          <w:rFonts w:hint="eastAsia" w:ascii="仿宋" w:hAnsi="仿宋" w:eastAsia="仿宋" w:cs="Times New Roman"/>
          <w:kern w:val="2"/>
          <w:sz w:val="30"/>
          <w:szCs w:val="30"/>
          <w:lang w:val="en-US" w:eastAsia="zh-CN" w:bidi="ar-SA"/>
        </w:rPr>
      </w:pPr>
    </w:p>
    <w:p>
      <w:pPr>
        <w:spacing w:line="520" w:lineRule="exact"/>
        <w:ind w:firstLine="560" w:firstLineChars="200"/>
        <w:jc w:val="left"/>
        <w:rPr>
          <w:rFonts w:ascii="方正仿宋_GBK" w:eastAsia="方正仿宋_GBK"/>
          <w:sz w:val="28"/>
          <w:szCs w:val="28"/>
        </w:rPr>
      </w:pPr>
    </w:p>
    <w:p>
      <w:pPr>
        <w:pStyle w:val="2"/>
      </w:pPr>
    </w:p>
    <w:tbl>
      <w:tblPr>
        <w:tblStyle w:val="15"/>
        <w:tblW w:w="8222" w:type="dxa"/>
        <w:tblInd w:w="108" w:type="dxa"/>
        <w:tblLayout w:type="fixed"/>
        <w:tblCellMar>
          <w:top w:w="0" w:type="dxa"/>
          <w:left w:w="108" w:type="dxa"/>
          <w:bottom w:w="0" w:type="dxa"/>
          <w:right w:w="108" w:type="dxa"/>
        </w:tblCellMar>
      </w:tblPr>
      <w:tblGrid>
        <w:gridCol w:w="2122"/>
        <w:gridCol w:w="6100"/>
      </w:tblGrid>
      <w:tr>
        <w:tblPrEx>
          <w:tblCellMar>
            <w:top w:w="0" w:type="dxa"/>
            <w:left w:w="108" w:type="dxa"/>
            <w:bottom w:w="0" w:type="dxa"/>
            <w:right w:w="108" w:type="dxa"/>
          </w:tblCellMar>
        </w:tblPrEx>
        <w:trPr>
          <w:trHeight w:val="910" w:hRule="atLeast"/>
        </w:trPr>
        <w:tc>
          <w:tcPr>
            <w:tcW w:w="2122" w:type="dxa"/>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kern w:val="0"/>
                <w:sz w:val="28"/>
                <w:szCs w:val="28"/>
                <w:lang w:val="en-US" w:eastAsia="zh-CN"/>
              </w:rPr>
            </w:pPr>
            <w:r>
              <w:rPr>
                <w:rFonts w:hint="eastAsia" w:ascii="仿宋" w:hAnsi="仿宋" w:eastAsia="仿宋" w:cs="仿宋"/>
                <w:b/>
                <w:bCs/>
                <w:color w:val="000000"/>
                <w:kern w:val="0"/>
                <w:sz w:val="28"/>
                <w:szCs w:val="28"/>
                <w:lang w:val="en-US" w:eastAsia="zh-CN"/>
              </w:rPr>
              <w:t>利益相关方</w:t>
            </w:r>
          </w:p>
        </w:tc>
        <w:tc>
          <w:tcPr>
            <w:tcW w:w="6100" w:type="dxa"/>
            <w:tcBorders>
              <w:top w:val="single" w:color="auto" w:sz="4" w:space="0"/>
              <w:left w:val="nil"/>
              <w:bottom w:val="single" w:color="auto" w:sz="4" w:space="0"/>
              <w:right w:val="single" w:color="auto" w:sz="4" w:space="0"/>
            </w:tcBorders>
            <w:shd w:val="clear" w:color="auto" w:fill="8DB3E2" w:themeFill="text2" w:themeFillTint="66"/>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000000"/>
                <w:kern w:val="0"/>
                <w:sz w:val="28"/>
                <w:szCs w:val="28"/>
                <w:lang w:val="en-US" w:eastAsia="zh-CN"/>
              </w:rPr>
            </w:pPr>
            <w:r>
              <w:rPr>
                <w:rFonts w:hint="eastAsia" w:ascii="仿宋" w:hAnsi="仿宋" w:eastAsia="仿宋" w:cs="仿宋"/>
                <w:b/>
                <w:bCs/>
                <w:color w:val="000000"/>
                <w:kern w:val="0"/>
                <w:sz w:val="28"/>
                <w:szCs w:val="28"/>
                <w:lang w:val="en-US" w:eastAsia="zh-CN"/>
              </w:rPr>
              <w:t>责任实践</w:t>
            </w:r>
          </w:p>
        </w:tc>
      </w:tr>
      <w:tr>
        <w:tblPrEx>
          <w:tblCellMar>
            <w:top w:w="0" w:type="dxa"/>
            <w:left w:w="108" w:type="dxa"/>
            <w:bottom w:w="0" w:type="dxa"/>
            <w:right w:w="108" w:type="dxa"/>
          </w:tblCellMar>
        </w:tblPrEx>
        <w:trPr>
          <w:trHeight w:val="1420" w:hRule="atLeast"/>
        </w:trPr>
        <w:tc>
          <w:tcPr>
            <w:tcW w:w="212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政府机构</w:t>
            </w:r>
          </w:p>
        </w:tc>
        <w:tc>
          <w:tcPr>
            <w:tcW w:w="61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提供就业岗位、主动纳税、创造社会财富、拉动地方相关产业发展</w:t>
            </w:r>
          </w:p>
        </w:tc>
      </w:tr>
      <w:tr>
        <w:tblPrEx>
          <w:tblCellMar>
            <w:top w:w="0" w:type="dxa"/>
            <w:left w:w="108" w:type="dxa"/>
            <w:bottom w:w="0" w:type="dxa"/>
            <w:right w:w="108" w:type="dxa"/>
          </w:tblCellMar>
        </w:tblPrEx>
        <w:trPr>
          <w:trHeight w:val="961" w:hRule="atLeast"/>
        </w:trPr>
        <w:tc>
          <w:tcPr>
            <w:tcW w:w="212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员工</w:t>
            </w:r>
          </w:p>
        </w:tc>
        <w:tc>
          <w:tcPr>
            <w:tcW w:w="61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平等就业、畅通职业发展通道、开展教育培训、员工关爱、加强海外员工管理</w:t>
            </w:r>
          </w:p>
        </w:tc>
      </w:tr>
      <w:tr>
        <w:tblPrEx>
          <w:tblCellMar>
            <w:top w:w="0" w:type="dxa"/>
            <w:left w:w="108" w:type="dxa"/>
            <w:bottom w:w="0" w:type="dxa"/>
            <w:right w:w="108" w:type="dxa"/>
          </w:tblCellMar>
        </w:tblPrEx>
        <w:trPr>
          <w:trHeight w:val="976" w:hRule="atLeast"/>
        </w:trPr>
        <w:tc>
          <w:tcPr>
            <w:tcW w:w="212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客户</w:t>
            </w:r>
          </w:p>
        </w:tc>
        <w:tc>
          <w:tcPr>
            <w:tcW w:w="61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合同履约、提供高品质的产品与服务、完善服务体系</w:t>
            </w:r>
          </w:p>
        </w:tc>
      </w:tr>
      <w:tr>
        <w:tblPrEx>
          <w:tblCellMar>
            <w:top w:w="0" w:type="dxa"/>
            <w:left w:w="108" w:type="dxa"/>
            <w:bottom w:w="0" w:type="dxa"/>
            <w:right w:w="108" w:type="dxa"/>
          </w:tblCellMar>
        </w:tblPrEx>
        <w:trPr>
          <w:trHeight w:val="983" w:hRule="atLeast"/>
        </w:trPr>
        <w:tc>
          <w:tcPr>
            <w:tcW w:w="212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环境</w:t>
            </w:r>
          </w:p>
        </w:tc>
        <w:tc>
          <w:tcPr>
            <w:tcW w:w="61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绿色环境管理、绿色设计、绿色产品、绿色建设、绿色环保行动</w:t>
            </w:r>
          </w:p>
        </w:tc>
      </w:tr>
      <w:tr>
        <w:tblPrEx>
          <w:tblCellMar>
            <w:top w:w="0" w:type="dxa"/>
            <w:left w:w="108" w:type="dxa"/>
            <w:bottom w:w="0" w:type="dxa"/>
            <w:right w:w="108" w:type="dxa"/>
          </w:tblCellMar>
        </w:tblPrEx>
        <w:trPr>
          <w:trHeight w:val="845" w:hRule="atLeast"/>
        </w:trPr>
        <w:tc>
          <w:tcPr>
            <w:tcW w:w="212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供应商</w:t>
            </w:r>
          </w:p>
        </w:tc>
        <w:tc>
          <w:tcPr>
            <w:tcW w:w="61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平等协商、信守合同、责任采购</w:t>
            </w:r>
          </w:p>
        </w:tc>
      </w:tr>
      <w:tr>
        <w:tblPrEx>
          <w:tblCellMar>
            <w:top w:w="0" w:type="dxa"/>
            <w:left w:w="108" w:type="dxa"/>
            <w:bottom w:w="0" w:type="dxa"/>
            <w:right w:w="108" w:type="dxa"/>
          </w:tblCellMar>
        </w:tblPrEx>
        <w:trPr>
          <w:trHeight w:val="910" w:hRule="atLeast"/>
        </w:trPr>
        <w:tc>
          <w:tcPr>
            <w:tcW w:w="212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合作伙伴</w:t>
            </w:r>
          </w:p>
        </w:tc>
        <w:tc>
          <w:tcPr>
            <w:tcW w:w="61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诚信守法、互利共赢</w:t>
            </w:r>
          </w:p>
        </w:tc>
      </w:tr>
      <w:tr>
        <w:tblPrEx>
          <w:tblCellMar>
            <w:top w:w="0" w:type="dxa"/>
            <w:left w:w="108" w:type="dxa"/>
            <w:bottom w:w="0" w:type="dxa"/>
            <w:right w:w="108" w:type="dxa"/>
          </w:tblCellMar>
        </w:tblPrEx>
        <w:trPr>
          <w:trHeight w:val="1420" w:hRule="atLeast"/>
        </w:trPr>
        <w:tc>
          <w:tcPr>
            <w:tcW w:w="212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同行</w:t>
            </w:r>
          </w:p>
        </w:tc>
        <w:tc>
          <w:tcPr>
            <w:tcW w:w="61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维护行业健康发、展参与制定行业标准、促进行业交流与合作</w:t>
            </w:r>
          </w:p>
        </w:tc>
      </w:tr>
      <w:tr>
        <w:tblPrEx>
          <w:tblCellMar>
            <w:top w:w="0" w:type="dxa"/>
            <w:left w:w="108" w:type="dxa"/>
            <w:bottom w:w="0" w:type="dxa"/>
            <w:right w:w="108" w:type="dxa"/>
          </w:tblCellMar>
        </w:tblPrEx>
        <w:trPr>
          <w:trHeight w:val="926" w:hRule="atLeast"/>
        </w:trPr>
        <w:tc>
          <w:tcPr>
            <w:tcW w:w="2122"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社区、公众及非政府组织</w:t>
            </w:r>
          </w:p>
        </w:tc>
        <w:tc>
          <w:tcPr>
            <w:tcW w:w="61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社会公益行动</w:t>
            </w:r>
          </w:p>
        </w:tc>
      </w:tr>
    </w:tbl>
    <w:p>
      <w:pPr>
        <w:spacing w:line="520" w:lineRule="exact"/>
        <w:ind w:firstLine="560" w:firstLineChars="200"/>
        <w:jc w:val="left"/>
        <w:rPr>
          <w:rFonts w:ascii="方正仿宋_GBK" w:eastAsia="方正仿宋_GBK"/>
          <w:sz w:val="28"/>
          <w:szCs w:val="28"/>
        </w:rPr>
      </w:pPr>
    </w:p>
    <w:p>
      <w:pPr>
        <w:spacing w:line="500" w:lineRule="exact"/>
        <w:ind w:firstLine="600" w:firstLineChars="200"/>
        <w:rPr>
          <w:rFonts w:hint="eastAsia" w:ascii="仿宋" w:hAnsi="仿宋" w:eastAsia="仿宋" w:cs="Times New Roman"/>
          <w:kern w:val="2"/>
          <w:sz w:val="30"/>
          <w:szCs w:val="30"/>
          <w:u w:val="single"/>
          <w:lang w:val="en-US" w:eastAsia="zh-CN" w:bidi="ar-SA"/>
        </w:rPr>
      </w:pPr>
    </w:p>
    <w:p>
      <w:pPr>
        <w:spacing w:line="500" w:lineRule="exact"/>
        <w:ind w:firstLine="600" w:firstLineChars="200"/>
        <w:rPr>
          <w:rFonts w:hint="eastAsia" w:ascii="仿宋" w:hAnsi="仿宋" w:eastAsia="仿宋" w:cs="Times New Roman"/>
          <w:kern w:val="2"/>
          <w:sz w:val="30"/>
          <w:szCs w:val="30"/>
          <w:u w:val="single"/>
          <w:lang w:val="en-US" w:eastAsia="zh-CN" w:bidi="ar-SA"/>
        </w:rPr>
      </w:pPr>
    </w:p>
    <w:p>
      <w:pPr>
        <w:spacing w:line="500" w:lineRule="exact"/>
        <w:ind w:firstLine="600" w:firstLineChars="200"/>
        <w:rPr>
          <w:rFonts w:hint="eastAsia" w:ascii="仿宋" w:hAnsi="仿宋" w:eastAsia="仿宋" w:cs="Times New Roman"/>
          <w:kern w:val="2"/>
          <w:sz w:val="30"/>
          <w:szCs w:val="30"/>
          <w:u w:val="single"/>
          <w:lang w:val="en-US" w:eastAsia="zh-CN" w:bidi="ar-SA"/>
        </w:rPr>
      </w:pPr>
    </w:p>
    <w:p>
      <w:pPr>
        <w:spacing w:line="500" w:lineRule="exact"/>
        <w:ind w:firstLine="600" w:firstLineChars="200"/>
        <w:rPr>
          <w:rFonts w:hint="eastAsia" w:ascii="仿宋" w:hAnsi="仿宋" w:eastAsia="仿宋" w:cs="Times New Roman"/>
          <w:kern w:val="2"/>
          <w:sz w:val="30"/>
          <w:szCs w:val="30"/>
          <w:u w:val="single"/>
          <w:lang w:val="en-US" w:eastAsia="zh-CN" w:bidi="ar-SA"/>
        </w:rPr>
      </w:pPr>
    </w:p>
    <w:p>
      <w:pPr>
        <w:spacing w:line="500" w:lineRule="exact"/>
        <w:ind w:firstLine="600" w:firstLineChars="200"/>
        <w:rPr>
          <w:rFonts w:hint="eastAsia" w:ascii="仿宋" w:hAnsi="仿宋" w:eastAsia="仿宋" w:cs="Times New Roman"/>
          <w:kern w:val="2"/>
          <w:sz w:val="30"/>
          <w:szCs w:val="30"/>
          <w:u w:val="single"/>
          <w:lang w:val="en-US" w:eastAsia="zh-CN" w:bidi="ar-SA"/>
        </w:rPr>
      </w:pPr>
    </w:p>
    <w:p>
      <w:pPr>
        <w:spacing w:line="500" w:lineRule="exact"/>
        <w:ind w:firstLine="600" w:firstLineChars="200"/>
        <w:rPr>
          <w:rFonts w:hint="eastAsia" w:ascii="仿宋" w:hAnsi="仿宋" w:eastAsia="仿宋" w:cs="Times New Roman"/>
          <w:kern w:val="2"/>
          <w:sz w:val="30"/>
          <w:szCs w:val="30"/>
          <w:u w:val="single"/>
          <w:lang w:val="en-US" w:eastAsia="zh-CN" w:bidi="ar-SA"/>
        </w:rPr>
      </w:pPr>
      <w:r>
        <w:rPr>
          <w:rFonts w:hint="eastAsia" w:ascii="仿宋" w:hAnsi="仿宋" w:eastAsia="仿宋" w:cs="Times New Roman"/>
          <w:kern w:val="2"/>
          <w:sz w:val="30"/>
          <w:szCs w:val="30"/>
          <w:u w:val="single"/>
          <w:lang w:val="en-US" w:eastAsia="zh-CN" w:bidi="ar-SA"/>
        </w:rPr>
        <w:t>价值东渡——贡献实体经济</w:t>
      </w:r>
    </w:p>
    <w:p>
      <w:pPr>
        <w:spacing w:line="500" w:lineRule="exact"/>
        <w:ind w:firstLine="600" w:firstLineChars="200"/>
        <w:rPr>
          <w:rFonts w:hint="eastAsia" w:ascii="仿宋" w:hAnsi="仿宋" w:eastAsia="仿宋" w:cs="Times New Roman"/>
          <w:kern w:val="2"/>
          <w:sz w:val="30"/>
          <w:szCs w:val="30"/>
          <w:lang w:val="en-US" w:eastAsia="zh-CN" w:bidi="ar-SA"/>
        </w:rPr>
      </w:pPr>
      <w:r>
        <w:rPr>
          <w:rFonts w:hint="eastAsia" w:ascii="仿宋" w:hAnsi="仿宋" w:eastAsia="仿宋" w:cs="Times New Roman"/>
          <w:kern w:val="2"/>
          <w:sz w:val="30"/>
          <w:szCs w:val="30"/>
          <w:lang w:val="en-US" w:eastAsia="zh-CN" w:bidi="ar-SA"/>
        </w:rPr>
        <w:t>1、稳健经营发展</w:t>
      </w:r>
    </w:p>
    <w:p>
      <w:pPr>
        <w:spacing w:line="500" w:lineRule="exact"/>
        <w:ind w:firstLine="600" w:firstLineChars="200"/>
        <w:rPr>
          <w:rFonts w:hint="eastAsia" w:ascii="仿宋" w:hAnsi="仿宋" w:eastAsia="仿宋" w:cs="Times New Roman"/>
          <w:kern w:val="2"/>
          <w:sz w:val="30"/>
          <w:szCs w:val="30"/>
          <w:lang w:val="en-US" w:eastAsia="zh-CN" w:bidi="ar-SA"/>
        </w:rPr>
      </w:pPr>
      <w:r>
        <w:rPr>
          <w:rFonts w:hint="eastAsia" w:ascii="仿宋" w:hAnsi="仿宋" w:eastAsia="仿宋" w:cs="Times New Roman"/>
          <w:kern w:val="2"/>
          <w:sz w:val="30"/>
          <w:szCs w:val="30"/>
          <w:lang w:val="en-US" w:eastAsia="zh-CN" w:bidi="ar-SA"/>
        </w:rPr>
        <w:t>围绕拥有配套优势、规模优势、布局优势、环保优势、创新优势，坚持走有质量的发展之路，积极夯实管理基础，加强推进转型升级，不断优化产品结构，持续完善产业链布局，贡献实体经济发展，实现纺织服装的“中国制造”向“中国创造”迈进。</w:t>
      </w:r>
    </w:p>
    <w:p>
      <w:pPr>
        <w:pStyle w:val="7"/>
        <w:spacing w:line="520" w:lineRule="exact"/>
        <w:ind w:firstLine="600" w:firstLineChars="200"/>
        <w:rPr>
          <w:rFonts w:hint="eastAsia" w:ascii="仿宋_GB2312" w:eastAsia="仿宋_GB2312" w:hAnsiTheme="minorHAnsi" w:cstheme="minorBidi"/>
          <w:kern w:val="2"/>
          <w:sz w:val="30"/>
          <w:szCs w:val="30"/>
          <w:lang w:val="en-US" w:eastAsia="zh-CN" w:bidi="ar-SA"/>
        </w:rPr>
      </w:pPr>
      <w:r>
        <w:rPr>
          <w:rFonts w:hint="eastAsia" w:ascii="仿宋_GB2312" w:eastAsia="仿宋_GB2312" w:hAnsiTheme="minorHAnsi" w:cstheme="minorBidi"/>
          <w:kern w:val="2"/>
          <w:sz w:val="30"/>
          <w:szCs w:val="30"/>
          <w:lang w:val="en-US" w:eastAsia="zh-CN" w:bidi="ar-SA"/>
        </w:rPr>
        <w:t>2、夯实管理基础</w:t>
      </w:r>
    </w:p>
    <w:p>
      <w:pPr>
        <w:pStyle w:val="7"/>
        <w:spacing w:line="520" w:lineRule="exact"/>
        <w:ind w:firstLine="600" w:firstLineChars="200"/>
        <w:rPr>
          <w:rFonts w:hint="eastAsia" w:ascii="仿宋_GB2312" w:eastAsia="仿宋_GB2312" w:hAnsiTheme="minorHAnsi" w:cstheme="minorBidi"/>
          <w:kern w:val="2"/>
          <w:sz w:val="30"/>
          <w:szCs w:val="30"/>
          <w:lang w:val="en-US" w:eastAsia="zh-CN" w:bidi="ar-SA"/>
        </w:rPr>
      </w:pPr>
      <w:r>
        <w:rPr>
          <w:rFonts w:hint="eastAsia" w:ascii="仿宋_GB2312" w:eastAsia="仿宋_GB2312" w:hAnsiTheme="minorHAnsi" w:cstheme="minorBidi"/>
          <w:kern w:val="2"/>
          <w:sz w:val="30"/>
          <w:szCs w:val="30"/>
          <w:lang w:val="en-US" w:eastAsia="zh-CN" w:bidi="ar-SA"/>
        </w:rPr>
        <w:t>东渡集团坚持以实现价值最大化为目标，深化战略管理，强化财务管控，实施全面风险管理，依法合规诚信运营，持续推进信息化建设，逐步推动向专业化、精细化和体系和转变，企业管理现代化水平持续提高，为实现健康可持续发展提供了强有力的保障。</w:t>
      </w:r>
    </w:p>
    <w:p>
      <w:pPr>
        <w:spacing w:line="500" w:lineRule="exact"/>
        <w:ind w:firstLine="600" w:firstLineChars="200"/>
        <w:rPr>
          <w:rFonts w:hint="eastAsia" w:ascii="仿宋" w:hAnsi="仿宋" w:eastAsia="仿宋" w:cs="Times New Roman"/>
          <w:kern w:val="2"/>
          <w:sz w:val="30"/>
          <w:szCs w:val="30"/>
          <w:lang w:val="en-US" w:eastAsia="zh-CN" w:bidi="ar-SA"/>
        </w:rPr>
      </w:pPr>
    </w:p>
    <w:p>
      <w:pPr>
        <w:spacing w:line="500" w:lineRule="exact"/>
        <w:ind w:firstLine="600" w:firstLineChars="200"/>
        <w:rPr>
          <w:rFonts w:hint="eastAsia" w:ascii="仿宋" w:hAnsi="仿宋" w:eastAsia="仿宋" w:cs="Times New Roman"/>
          <w:kern w:val="2"/>
          <w:sz w:val="30"/>
          <w:szCs w:val="30"/>
          <w:u w:val="single"/>
          <w:lang w:val="en-US" w:eastAsia="zh-CN" w:bidi="ar-SA"/>
        </w:rPr>
      </w:pPr>
      <w:r>
        <w:rPr>
          <w:rFonts w:hint="eastAsia" w:ascii="仿宋" w:hAnsi="仿宋" w:eastAsia="仿宋" w:cs="Times New Roman"/>
          <w:kern w:val="2"/>
          <w:sz w:val="30"/>
          <w:szCs w:val="30"/>
          <w:u w:val="single"/>
          <w:lang w:val="en-US" w:eastAsia="zh-CN" w:bidi="ar-SA"/>
        </w:rPr>
        <w:t>创新东渡——驱动变革转型</w:t>
      </w:r>
    </w:p>
    <w:p>
      <w:pPr>
        <w:keepNext w:val="0"/>
        <w:keepLines w:val="0"/>
        <w:pageBreakBefore w:val="0"/>
        <w:kinsoku/>
        <w:wordWrap/>
        <w:overflowPunct/>
        <w:topLinePunct w:val="0"/>
        <w:autoSpaceDE/>
        <w:autoSpaceDN/>
        <w:bidi w:val="0"/>
        <w:adjustRightInd/>
        <w:snapToGrid/>
        <w:spacing w:line="500" w:lineRule="exact"/>
        <w:ind w:firstLine="600" w:firstLineChars="200"/>
        <w:textAlignment w:val="auto"/>
        <w:rPr>
          <w:rFonts w:hint="eastAsia" w:ascii="仿宋" w:hAnsi="仿宋" w:eastAsia="仿宋" w:cs="Times New Roman"/>
          <w:kern w:val="2"/>
          <w:sz w:val="30"/>
          <w:szCs w:val="30"/>
          <w:lang w:val="en-US" w:eastAsia="zh-CN" w:bidi="ar-SA"/>
        </w:rPr>
      </w:pPr>
      <w:r>
        <w:rPr>
          <w:rFonts w:hint="eastAsia" w:ascii="仿宋" w:hAnsi="仿宋" w:eastAsia="仿宋" w:cs="Times New Roman"/>
          <w:kern w:val="2"/>
          <w:sz w:val="30"/>
          <w:szCs w:val="30"/>
          <w:lang w:val="en-US" w:eastAsia="zh-CN" w:bidi="ar-SA"/>
        </w:rPr>
        <w:t>大力实施驱动创新发展战略，加大科技创新力度，深入开展管理创新，不断增强创新动力、活力、实力。</w:t>
      </w:r>
    </w:p>
    <w:p>
      <w:pPr>
        <w:pStyle w:val="7"/>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方正仿宋简体"/>
          <w:kern w:val="2"/>
          <w:sz w:val="28"/>
          <w:szCs w:val="28"/>
          <w:lang w:val="en-US" w:eastAsia="zh-CN" w:bidi="ar-SA"/>
        </w:rPr>
      </w:pPr>
      <w:r>
        <w:rPr>
          <w:rFonts w:hint="eastAsia" w:ascii="仿宋" w:hAnsi="仿宋" w:eastAsia="仿宋" w:cs="方正仿宋简体"/>
          <w:kern w:val="2"/>
          <w:sz w:val="28"/>
          <w:szCs w:val="28"/>
          <w:lang w:val="en-US" w:eastAsia="zh-CN" w:bidi="ar-SA"/>
        </w:rPr>
        <w:t>1、自主创新能力建设</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ascii="仿宋" w:hAnsi="仿宋" w:eastAsia="仿宋" w:cs="方正仿宋简体"/>
          <w:sz w:val="28"/>
          <w:szCs w:val="28"/>
        </w:rPr>
      </w:pPr>
      <w:r>
        <w:rPr>
          <w:rFonts w:hint="eastAsia" w:ascii="仿宋" w:hAnsi="仿宋" w:eastAsia="仿宋" w:cs="方正仿宋简体"/>
          <w:sz w:val="28"/>
          <w:szCs w:val="28"/>
        </w:rPr>
        <w:t>公司全面出击，重点突破，与各大科研院所和高等学府深度合作，打造两大平台：伊思贝得设计研发中心和外贸公共设计服务平台，主攻纺织服装基础性、公共性技术研发和实验协作，增强企业新产品、新技术、新工艺开发能力，推动企业进行技术改造和升级，提升产品的技术含量和附加值。集团先后获评“江苏省工业设计中心”“江苏省新型功能性纺织研究与环保新工艺工程技术研究中心”</w:t>
      </w:r>
      <w:r>
        <w:rPr>
          <w:rFonts w:hint="eastAsia" w:ascii="仿宋" w:hAnsi="仿宋" w:eastAsia="仿宋" w:cs="方正仿宋简体"/>
          <w:sz w:val="28"/>
          <w:szCs w:val="28"/>
          <w:lang w:val="en-US" w:eastAsia="zh-CN"/>
        </w:rPr>
        <w:t xml:space="preserve"> </w:t>
      </w:r>
      <w:r>
        <w:rPr>
          <w:rFonts w:hint="eastAsia" w:ascii="仿宋" w:hAnsi="仿宋" w:eastAsia="仿宋" w:cs="方正仿宋简体"/>
          <w:sz w:val="28"/>
          <w:szCs w:val="28"/>
        </w:rPr>
        <w:t>“江苏省企业技术中心”</w:t>
      </w:r>
      <w:r>
        <w:rPr>
          <w:rFonts w:hint="eastAsia" w:ascii="仿宋" w:hAnsi="仿宋" w:eastAsia="仿宋" w:cs="方正仿宋简体"/>
          <w:sz w:val="28"/>
          <w:szCs w:val="28"/>
          <w:lang w:val="en-US" w:eastAsia="zh-CN"/>
        </w:rPr>
        <w:t xml:space="preserve"> </w:t>
      </w:r>
      <w:r>
        <w:rPr>
          <w:rFonts w:hint="eastAsia" w:ascii="仿宋" w:hAnsi="仿宋" w:eastAsia="仿宋" w:cs="方正仿宋简体"/>
          <w:sz w:val="28"/>
          <w:szCs w:val="28"/>
        </w:rPr>
        <w:t>“江苏省企业研究生工作站”</w:t>
      </w:r>
      <w:r>
        <w:rPr>
          <w:rFonts w:ascii="仿宋" w:hAnsi="仿宋" w:eastAsia="仿宋" w:cs="方正仿宋简体"/>
          <w:sz w:val="28"/>
          <w:szCs w:val="28"/>
        </w:rPr>
        <w:t>。</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ascii="仿宋" w:hAnsi="仿宋" w:eastAsia="仿宋" w:cs="方正仿宋简体"/>
          <w:sz w:val="28"/>
          <w:szCs w:val="28"/>
        </w:rPr>
      </w:pPr>
      <w:r>
        <w:rPr>
          <w:rFonts w:hint="eastAsia" w:ascii="仿宋" w:hAnsi="仿宋" w:eastAsia="仿宋" w:cs="方正仿宋简体"/>
          <w:sz w:val="28"/>
          <w:szCs w:val="28"/>
        </w:rPr>
        <w:t>近年来</w:t>
      </w:r>
      <w:r>
        <w:rPr>
          <w:rFonts w:ascii="仿宋" w:hAnsi="仿宋" w:eastAsia="仿宋" w:cs="方正仿宋简体"/>
          <w:sz w:val="28"/>
          <w:szCs w:val="28"/>
        </w:rPr>
        <w:t>，</w:t>
      </w:r>
      <w:r>
        <w:rPr>
          <w:rFonts w:hint="eastAsia" w:ascii="仿宋" w:hAnsi="仿宋" w:eastAsia="仿宋" w:cs="方正仿宋简体"/>
          <w:sz w:val="28"/>
          <w:szCs w:val="28"/>
        </w:rPr>
        <w:t>东渡</w:t>
      </w:r>
      <w:r>
        <w:rPr>
          <w:rFonts w:ascii="仿宋" w:hAnsi="仿宋" w:eastAsia="仿宋" w:cs="方正仿宋简体"/>
          <w:sz w:val="28"/>
          <w:szCs w:val="28"/>
        </w:rPr>
        <w:t>纺织</w:t>
      </w:r>
      <w:r>
        <w:rPr>
          <w:rFonts w:hint="eastAsia" w:ascii="仿宋" w:hAnsi="仿宋" w:eastAsia="仿宋" w:cs="方正仿宋简体"/>
          <w:sz w:val="28"/>
          <w:szCs w:val="28"/>
        </w:rPr>
        <w:t>集团在研发新产品、开发新技术、企业术升级和产品结构优化调整中取得了显著的成效，2017年</w:t>
      </w:r>
      <w:r>
        <w:rPr>
          <w:rFonts w:ascii="仿宋" w:hAnsi="仿宋" w:eastAsia="仿宋" w:cs="方正仿宋简体"/>
          <w:sz w:val="28"/>
          <w:szCs w:val="28"/>
        </w:rPr>
        <w:t>开发的</w:t>
      </w:r>
      <w:r>
        <w:rPr>
          <w:rFonts w:hint="eastAsia" w:ascii="仿宋" w:hAnsi="仿宋" w:eastAsia="仿宋" w:cs="方正仿宋简体"/>
          <w:sz w:val="28"/>
          <w:szCs w:val="28"/>
        </w:rPr>
        <w:t>高弹毛巾布</w:t>
      </w:r>
      <w:r>
        <w:rPr>
          <w:rFonts w:ascii="仿宋" w:hAnsi="仿宋" w:eastAsia="仿宋" w:cs="方正仿宋简体"/>
          <w:sz w:val="28"/>
          <w:szCs w:val="28"/>
        </w:rPr>
        <w:t>面料、</w:t>
      </w:r>
      <w:r>
        <w:rPr>
          <w:rFonts w:hint="eastAsia" w:ascii="仿宋" w:hAnsi="仿宋" w:eastAsia="仿宋" w:cs="方正仿宋简体"/>
          <w:sz w:val="28"/>
          <w:szCs w:val="28"/>
        </w:rPr>
        <w:t>环保棉</w:t>
      </w:r>
      <w:r>
        <w:rPr>
          <w:rFonts w:ascii="仿宋" w:hAnsi="仿宋" w:eastAsia="仿宋" w:cs="方正仿宋简体"/>
          <w:sz w:val="28"/>
          <w:szCs w:val="28"/>
        </w:rPr>
        <w:t>型荧光</w:t>
      </w:r>
      <w:r>
        <w:rPr>
          <w:rFonts w:hint="eastAsia" w:ascii="仿宋" w:hAnsi="仿宋" w:eastAsia="仿宋" w:cs="方正仿宋简体"/>
          <w:sz w:val="28"/>
          <w:szCs w:val="28"/>
        </w:rPr>
        <w:t>织物</w:t>
      </w:r>
      <w:r>
        <w:rPr>
          <w:rFonts w:ascii="仿宋" w:hAnsi="仿宋" w:eastAsia="仿宋" w:cs="方正仿宋简体"/>
          <w:sz w:val="28"/>
          <w:szCs w:val="28"/>
        </w:rPr>
        <w:t>、抗菌</w:t>
      </w:r>
      <w:r>
        <w:rPr>
          <w:rFonts w:hint="eastAsia" w:ascii="仿宋" w:hAnsi="仿宋" w:eastAsia="仿宋" w:cs="方正仿宋简体"/>
          <w:sz w:val="28"/>
          <w:szCs w:val="28"/>
        </w:rPr>
        <w:t>驱蚊</w:t>
      </w:r>
      <w:r>
        <w:rPr>
          <w:rFonts w:ascii="仿宋" w:hAnsi="仿宋" w:eastAsia="仿宋" w:cs="方正仿宋简体"/>
          <w:sz w:val="28"/>
          <w:szCs w:val="28"/>
        </w:rPr>
        <w:t>功能性面料</w:t>
      </w:r>
      <w:r>
        <w:rPr>
          <w:rFonts w:hint="eastAsia" w:ascii="仿宋" w:hAnsi="仿宋" w:eastAsia="仿宋" w:cs="方正仿宋简体"/>
          <w:sz w:val="28"/>
          <w:szCs w:val="28"/>
        </w:rPr>
        <w:t>等</w:t>
      </w:r>
      <w:r>
        <w:rPr>
          <w:rFonts w:ascii="仿宋" w:hAnsi="仿宋" w:eastAsia="仿宋" w:cs="方正仿宋简体"/>
          <w:sz w:val="28"/>
          <w:szCs w:val="28"/>
        </w:rPr>
        <w:t>5</w:t>
      </w:r>
      <w:r>
        <w:rPr>
          <w:rFonts w:hint="eastAsia" w:ascii="仿宋" w:hAnsi="仿宋" w:eastAsia="仿宋" w:cs="方正仿宋简体"/>
          <w:sz w:val="28"/>
          <w:szCs w:val="28"/>
        </w:rPr>
        <w:t>个</w:t>
      </w:r>
      <w:r>
        <w:rPr>
          <w:rFonts w:ascii="仿宋" w:hAnsi="仿宋" w:eastAsia="仿宋" w:cs="方正仿宋简体"/>
          <w:sz w:val="28"/>
          <w:szCs w:val="28"/>
        </w:rPr>
        <w:t>新</w:t>
      </w:r>
      <w:r>
        <w:rPr>
          <w:rFonts w:hint="eastAsia" w:ascii="仿宋" w:hAnsi="仿宋" w:eastAsia="仿宋" w:cs="方正仿宋简体"/>
          <w:sz w:val="28"/>
          <w:szCs w:val="28"/>
        </w:rPr>
        <w:t>产品通过了</w:t>
      </w:r>
      <w:r>
        <w:rPr>
          <w:rFonts w:ascii="仿宋" w:hAnsi="仿宋" w:eastAsia="仿宋" w:cs="方正仿宋简体"/>
          <w:sz w:val="28"/>
          <w:szCs w:val="28"/>
        </w:rPr>
        <w:t>江苏省</w:t>
      </w:r>
      <w:r>
        <w:rPr>
          <w:rFonts w:hint="eastAsia" w:ascii="仿宋" w:hAnsi="仿宋" w:eastAsia="仿宋" w:cs="方正仿宋简体"/>
          <w:sz w:val="28"/>
          <w:szCs w:val="28"/>
        </w:rPr>
        <w:t>经济</w:t>
      </w:r>
      <w:r>
        <w:rPr>
          <w:rFonts w:ascii="仿宋" w:hAnsi="仿宋" w:eastAsia="仿宋" w:cs="方正仿宋简体"/>
          <w:sz w:val="28"/>
          <w:szCs w:val="28"/>
        </w:rPr>
        <w:t>和信息化委员会</w:t>
      </w:r>
      <w:r>
        <w:rPr>
          <w:rFonts w:hint="eastAsia" w:ascii="仿宋" w:hAnsi="仿宋" w:eastAsia="仿宋" w:cs="方正仿宋简体"/>
          <w:sz w:val="28"/>
          <w:szCs w:val="28"/>
        </w:rPr>
        <w:t>组织</w:t>
      </w:r>
      <w:r>
        <w:rPr>
          <w:rFonts w:ascii="仿宋" w:hAnsi="仿宋" w:eastAsia="仿宋" w:cs="方正仿宋简体"/>
          <w:sz w:val="28"/>
          <w:szCs w:val="28"/>
        </w:rPr>
        <w:t>的</w:t>
      </w:r>
      <w:r>
        <w:rPr>
          <w:rFonts w:hint="eastAsia" w:ascii="仿宋" w:hAnsi="仿宋" w:eastAsia="仿宋" w:cs="方正仿宋简体"/>
          <w:sz w:val="28"/>
          <w:szCs w:val="28"/>
        </w:rPr>
        <w:t>省级</w:t>
      </w:r>
      <w:r>
        <w:rPr>
          <w:rFonts w:ascii="仿宋" w:hAnsi="仿宋" w:eastAsia="仿宋" w:cs="方正仿宋简体"/>
          <w:sz w:val="28"/>
          <w:szCs w:val="28"/>
        </w:rPr>
        <w:t>新产品鉴定</w:t>
      </w:r>
      <w:r>
        <w:rPr>
          <w:rFonts w:hint="eastAsia" w:ascii="仿宋" w:hAnsi="仿宋" w:eastAsia="仿宋" w:cs="方正仿宋简体"/>
          <w:sz w:val="28"/>
          <w:szCs w:val="28"/>
        </w:rPr>
        <w:t>；针织物平幅连续前处理水废水</w:t>
      </w:r>
      <w:r>
        <w:rPr>
          <w:rFonts w:ascii="仿宋" w:hAnsi="仿宋" w:eastAsia="仿宋" w:cs="方正仿宋简体"/>
          <w:sz w:val="28"/>
          <w:szCs w:val="28"/>
        </w:rPr>
        <w:t>零排放</w:t>
      </w:r>
      <w:r>
        <w:rPr>
          <w:rFonts w:hint="eastAsia" w:ascii="仿宋" w:hAnsi="仿宋" w:eastAsia="仿宋" w:cs="方正仿宋简体"/>
          <w:sz w:val="28"/>
          <w:szCs w:val="28"/>
        </w:rPr>
        <w:t>新</w:t>
      </w:r>
      <w:r>
        <w:rPr>
          <w:rFonts w:ascii="仿宋" w:hAnsi="仿宋" w:eastAsia="仿宋" w:cs="方正仿宋简体"/>
          <w:sz w:val="28"/>
          <w:szCs w:val="28"/>
        </w:rPr>
        <w:t>工艺</w:t>
      </w:r>
      <w:r>
        <w:rPr>
          <w:rFonts w:hint="eastAsia" w:ascii="仿宋" w:hAnsi="仿宋" w:eastAsia="仿宋" w:cs="方正仿宋简体"/>
          <w:sz w:val="28"/>
          <w:szCs w:val="28"/>
        </w:rPr>
        <w:t>于2017年11月30日通过</w:t>
      </w:r>
      <w:r>
        <w:rPr>
          <w:rFonts w:ascii="仿宋" w:hAnsi="仿宋" w:eastAsia="仿宋" w:cs="方正仿宋简体"/>
          <w:sz w:val="28"/>
          <w:szCs w:val="28"/>
        </w:rPr>
        <w:t>了中国</w:t>
      </w:r>
      <w:r>
        <w:rPr>
          <w:rFonts w:hint="eastAsia" w:ascii="仿宋" w:hAnsi="仿宋" w:eastAsia="仿宋" w:cs="方正仿宋简体"/>
          <w:sz w:val="28"/>
          <w:szCs w:val="28"/>
        </w:rPr>
        <w:t>纺织</w:t>
      </w:r>
      <w:r>
        <w:rPr>
          <w:rFonts w:ascii="仿宋" w:hAnsi="仿宋" w:eastAsia="仿宋" w:cs="方正仿宋简体"/>
          <w:sz w:val="28"/>
          <w:szCs w:val="28"/>
        </w:rPr>
        <w:t>工程学会组织的科技成果鉴定</w:t>
      </w:r>
      <w:r>
        <w:rPr>
          <w:rFonts w:hint="eastAsia" w:ascii="仿宋" w:hAnsi="仿宋" w:eastAsia="仿宋" w:cs="方正仿宋简体"/>
          <w:sz w:val="28"/>
          <w:szCs w:val="28"/>
        </w:rPr>
        <w:t>； 2018年</w:t>
      </w:r>
      <w:r>
        <w:rPr>
          <w:rFonts w:ascii="仿宋" w:hAnsi="仿宋" w:eastAsia="仿宋" w:cs="方正仿宋简体"/>
          <w:sz w:val="28"/>
          <w:szCs w:val="28"/>
        </w:rPr>
        <w:t>开发的</w:t>
      </w:r>
      <w:r>
        <w:rPr>
          <w:rFonts w:hint="eastAsia" w:ascii="仿宋" w:hAnsi="仿宋" w:eastAsia="仿宋" w:cs="方正仿宋简体"/>
          <w:sz w:val="28"/>
          <w:szCs w:val="28"/>
        </w:rPr>
        <w:t>草珊瑚</w:t>
      </w:r>
      <w:r>
        <w:rPr>
          <w:rFonts w:ascii="仿宋" w:hAnsi="仿宋" w:eastAsia="仿宋" w:cs="方正仿宋简体"/>
          <w:sz w:val="28"/>
          <w:szCs w:val="28"/>
        </w:rPr>
        <w:t>发热功能性</w:t>
      </w:r>
      <w:r>
        <w:rPr>
          <w:rFonts w:hint="eastAsia" w:ascii="仿宋" w:hAnsi="仿宋" w:eastAsia="仿宋" w:cs="方正仿宋简体"/>
          <w:sz w:val="28"/>
          <w:szCs w:val="28"/>
        </w:rPr>
        <w:t>面料</w:t>
      </w:r>
      <w:r>
        <w:rPr>
          <w:rFonts w:ascii="仿宋" w:hAnsi="仿宋" w:eastAsia="仿宋" w:cs="方正仿宋简体"/>
          <w:sz w:val="28"/>
          <w:szCs w:val="28"/>
        </w:rPr>
        <w:t>、莱赛</w:t>
      </w:r>
      <w:r>
        <w:rPr>
          <w:rFonts w:hint="eastAsia" w:ascii="仿宋" w:hAnsi="仿宋" w:eastAsia="仿宋" w:cs="方正仿宋简体"/>
          <w:sz w:val="28"/>
          <w:szCs w:val="28"/>
        </w:rPr>
        <w:t>尔</w:t>
      </w:r>
      <w:r>
        <w:rPr>
          <w:rFonts w:ascii="仿宋" w:hAnsi="仿宋" w:eastAsia="仿宋" w:cs="方正仿宋简体"/>
          <w:sz w:val="28"/>
          <w:szCs w:val="28"/>
        </w:rPr>
        <w:t>纤维环保</w:t>
      </w:r>
      <w:r>
        <w:rPr>
          <w:rFonts w:hint="eastAsia" w:ascii="仿宋" w:hAnsi="仿宋" w:eastAsia="仿宋" w:cs="方正仿宋简体"/>
          <w:sz w:val="28"/>
          <w:szCs w:val="28"/>
        </w:rPr>
        <w:t>面料</w:t>
      </w:r>
      <w:r>
        <w:rPr>
          <w:rFonts w:ascii="仿宋" w:hAnsi="仿宋" w:eastAsia="仿宋" w:cs="方正仿宋简体"/>
          <w:sz w:val="28"/>
          <w:szCs w:val="28"/>
        </w:rPr>
        <w:t>等</w:t>
      </w:r>
      <w:r>
        <w:rPr>
          <w:rFonts w:hint="eastAsia" w:ascii="仿宋" w:hAnsi="仿宋" w:eastAsia="仿宋" w:cs="方正仿宋简体"/>
          <w:sz w:val="28"/>
          <w:szCs w:val="28"/>
        </w:rPr>
        <w:t>4个</w:t>
      </w:r>
      <w:r>
        <w:rPr>
          <w:rFonts w:ascii="仿宋" w:hAnsi="仿宋" w:eastAsia="仿宋" w:cs="方正仿宋简体"/>
          <w:sz w:val="28"/>
          <w:szCs w:val="28"/>
        </w:rPr>
        <w:t>新产品</w:t>
      </w:r>
      <w:r>
        <w:rPr>
          <w:rFonts w:hint="eastAsia" w:ascii="仿宋" w:hAnsi="仿宋" w:eastAsia="仿宋" w:cs="方正仿宋简体"/>
          <w:sz w:val="28"/>
          <w:szCs w:val="28"/>
        </w:rPr>
        <w:t>通过了</w:t>
      </w:r>
      <w:r>
        <w:rPr>
          <w:rFonts w:ascii="仿宋" w:hAnsi="仿宋" w:eastAsia="仿宋" w:cs="方正仿宋简体"/>
          <w:sz w:val="28"/>
          <w:szCs w:val="28"/>
        </w:rPr>
        <w:t>江苏省</w:t>
      </w:r>
      <w:r>
        <w:rPr>
          <w:rFonts w:hint="eastAsia" w:ascii="仿宋" w:hAnsi="仿宋" w:eastAsia="仿宋" w:cs="方正仿宋简体"/>
          <w:sz w:val="28"/>
          <w:szCs w:val="28"/>
        </w:rPr>
        <w:t>工业</w:t>
      </w:r>
      <w:r>
        <w:rPr>
          <w:rFonts w:ascii="仿宋" w:hAnsi="仿宋" w:eastAsia="仿宋" w:cs="方正仿宋简体"/>
          <w:sz w:val="28"/>
          <w:szCs w:val="28"/>
        </w:rPr>
        <w:t>和信息化厅</w:t>
      </w:r>
      <w:r>
        <w:rPr>
          <w:rFonts w:hint="eastAsia" w:ascii="仿宋" w:hAnsi="仿宋" w:eastAsia="仿宋" w:cs="方正仿宋简体"/>
          <w:sz w:val="28"/>
          <w:szCs w:val="28"/>
        </w:rPr>
        <w:t>组织</w:t>
      </w:r>
      <w:r>
        <w:rPr>
          <w:rFonts w:ascii="仿宋" w:hAnsi="仿宋" w:eastAsia="仿宋" w:cs="方正仿宋简体"/>
          <w:sz w:val="28"/>
          <w:szCs w:val="28"/>
        </w:rPr>
        <w:t>的</w:t>
      </w:r>
      <w:r>
        <w:rPr>
          <w:rFonts w:hint="eastAsia" w:ascii="仿宋" w:hAnsi="仿宋" w:eastAsia="仿宋" w:cs="方正仿宋简体"/>
          <w:sz w:val="28"/>
          <w:szCs w:val="28"/>
        </w:rPr>
        <w:t>省级</w:t>
      </w:r>
      <w:r>
        <w:rPr>
          <w:rFonts w:ascii="仿宋" w:hAnsi="仿宋" w:eastAsia="仿宋" w:cs="方正仿宋简体"/>
          <w:sz w:val="28"/>
          <w:szCs w:val="28"/>
        </w:rPr>
        <w:t>新产品鉴定。</w:t>
      </w:r>
    </w:p>
    <w:p>
      <w:pPr>
        <w:keepNext w:val="0"/>
        <w:keepLines w:val="0"/>
        <w:pageBreakBefore w:val="0"/>
        <w:widowControl/>
        <w:numPr>
          <w:ilvl w:val="0"/>
          <w:numId w:val="0"/>
        </w:numPr>
        <w:tabs>
          <w:tab w:val="left" w:pos="5437"/>
        </w:tabs>
        <w:kinsoku/>
        <w:wordWrap/>
        <w:overflowPunct/>
        <w:topLinePunct w:val="0"/>
        <w:autoSpaceDE/>
        <w:autoSpaceDN/>
        <w:bidi w:val="0"/>
        <w:adjustRightInd/>
        <w:snapToGrid/>
        <w:spacing w:line="500" w:lineRule="exact"/>
        <w:ind w:left="0" w:leftChars="0" w:firstLine="600" w:firstLineChars="200"/>
        <w:jc w:val="left"/>
        <w:textAlignment w:val="auto"/>
        <w:rPr>
          <w:rFonts w:hint="default" w:ascii="仿宋" w:hAnsi="仿宋" w:eastAsia="仿宋" w:cs="方正仿宋简体"/>
          <w:sz w:val="28"/>
          <w:szCs w:val="28"/>
          <w:lang w:val="en-US"/>
        </w:rPr>
      </w:pPr>
      <w:r>
        <w:rPr>
          <w:rFonts w:hint="eastAsia" w:ascii="仿宋" w:hAnsi="仿宋" w:eastAsia="仿宋" w:cs="Times New Roman"/>
          <w:kern w:val="2"/>
          <w:sz w:val="30"/>
          <w:szCs w:val="30"/>
          <w:lang w:val="en-US" w:eastAsia="zh-CN" w:bidi="ar-SA"/>
        </w:rPr>
        <w:t>同时，</w:t>
      </w:r>
      <w:r>
        <w:rPr>
          <w:rFonts w:hint="eastAsia" w:ascii="仿宋" w:hAnsi="仿宋" w:eastAsia="仿宋" w:cs="方正仿宋简体"/>
          <w:sz w:val="28"/>
          <w:szCs w:val="28"/>
        </w:rPr>
        <w:t>公司不断加大对新产品研发的投入，不断完善科技创新体系，</w:t>
      </w:r>
      <w:r>
        <w:rPr>
          <w:rFonts w:ascii="仿宋" w:hAnsi="仿宋" w:eastAsia="仿宋" w:cs="方正仿宋简体"/>
          <w:sz w:val="28"/>
          <w:szCs w:val="28"/>
        </w:rPr>
        <w:t>开发出一批具有自主知识产权、达到国内领先国际先进水平的新成果、新技术、新产品</w:t>
      </w:r>
      <w:r>
        <w:rPr>
          <w:rFonts w:hint="eastAsia" w:ascii="仿宋" w:hAnsi="仿宋" w:eastAsia="仿宋" w:cs="方正仿宋简体"/>
          <w:sz w:val="28"/>
          <w:szCs w:val="28"/>
          <w:lang w:eastAsia="zh-CN"/>
        </w:rPr>
        <w:t>。</w:t>
      </w:r>
      <w:r>
        <w:rPr>
          <w:rFonts w:hint="eastAsia" w:ascii="仿宋_GB2312" w:hAnsi="仿宋_GB2312" w:eastAsia="仿宋_GB2312" w:cs="仿宋_GB2312"/>
          <w:bCs/>
          <w:kern w:val="0"/>
          <w:sz w:val="28"/>
          <w:szCs w:val="28"/>
          <w:highlight w:val="none"/>
          <w:lang w:val="en-US" w:eastAsia="zh-CN"/>
        </w:rPr>
        <w:t>拥有国家授权发明专利15项，实用新型专利10项，获2021-2022年度中国印染行业优秀面料二等奖，另“莱赛尔纤维环保面料”获2019-2020年度“创客中国”纺织服装行业中小企业创新创业</w:t>
      </w:r>
      <w:r>
        <w:rPr>
          <w:rFonts w:hint="eastAsia" w:ascii="仿宋" w:hAnsi="仿宋" w:eastAsia="仿宋" w:cs="方正仿宋简体"/>
          <w:bCs w:val="0"/>
          <w:kern w:val="2"/>
          <w:sz w:val="28"/>
          <w:szCs w:val="28"/>
          <w:highlight w:val="none"/>
          <w:lang w:val="en-US" w:eastAsia="zh-CN"/>
        </w:rPr>
        <w:t>大赛优胜奖；“莱赛尔纤维环保服装”获江苏服装协同创新中心优秀成果评选活动“优秀应用奖”以及</w:t>
      </w:r>
      <w:r>
        <w:rPr>
          <w:rFonts w:hint="eastAsia" w:ascii="仿宋" w:hAnsi="仿宋" w:eastAsia="仿宋" w:cs="方正仿宋简体"/>
          <w:sz w:val="28"/>
          <w:szCs w:val="28"/>
          <w:lang w:val="en-US" w:eastAsia="zh-CN"/>
        </w:rPr>
        <w:t>苏州市纺织丝绸科学技术进步奖。</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方正仿宋简体"/>
          <w:sz w:val="28"/>
          <w:szCs w:val="28"/>
          <w:lang w:val="en-US" w:eastAsia="zh-CN"/>
        </w:rPr>
      </w:pPr>
      <w:r>
        <w:rPr>
          <w:rFonts w:hint="eastAsia" w:ascii="仿宋" w:hAnsi="仿宋" w:eastAsia="仿宋" w:cs="方正仿宋简体"/>
          <w:sz w:val="28"/>
          <w:szCs w:val="28"/>
          <w:lang w:val="en-US" w:eastAsia="zh-CN"/>
        </w:rPr>
        <w:t>2、知识产权建设</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方正仿宋简体"/>
          <w:sz w:val="28"/>
          <w:szCs w:val="28"/>
        </w:rPr>
      </w:pPr>
      <w:r>
        <w:rPr>
          <w:rFonts w:hint="eastAsia" w:ascii="仿宋" w:hAnsi="仿宋" w:eastAsia="仿宋" w:cs="方正仿宋简体"/>
          <w:sz w:val="28"/>
          <w:szCs w:val="28"/>
          <w:lang w:val="en-US" w:eastAsia="zh-CN"/>
        </w:rPr>
        <w:t>东渡集团完善《企业知识产权管理规范》制度，对公司知识产权工作实行制度管理。进一步完善知识产权管理机构，增加专门的知识产权管理人员或指定专门部门和人员兼管；建立健全知识产权管理制度，深入开展知识产权保护行动，努力提高公司各类人员的知识产权意识和公司运用知识产权制度的能力。</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ascii="仿宋" w:hAnsi="仿宋" w:eastAsia="仿宋" w:cs="方正仿宋简体"/>
          <w:sz w:val="28"/>
          <w:szCs w:val="28"/>
        </w:rPr>
      </w:pPr>
      <w:r>
        <w:rPr>
          <w:rFonts w:hint="eastAsia" w:ascii="仿宋" w:hAnsi="仿宋" w:eastAsia="仿宋" w:cs="方正仿宋简体"/>
          <w:sz w:val="28"/>
          <w:szCs w:val="28"/>
        </w:rPr>
        <w:t>集团拥有自主开发的产品设计图、工程设计图、美术作品的全部版权。目前，共有版权登记</w:t>
      </w:r>
      <w:r>
        <w:rPr>
          <w:rFonts w:hint="eastAsia" w:ascii="仿宋" w:hAnsi="仿宋" w:eastAsia="仿宋" w:cs="方正仿宋简体"/>
          <w:sz w:val="28"/>
          <w:szCs w:val="28"/>
          <w:lang w:val="en-US" w:eastAsia="zh-CN"/>
        </w:rPr>
        <w:t>200余</w:t>
      </w:r>
      <w:r>
        <w:rPr>
          <w:rFonts w:hint="eastAsia" w:ascii="仿宋" w:hAnsi="仿宋" w:eastAsia="仿宋" w:cs="方正仿宋简体"/>
          <w:sz w:val="28"/>
          <w:szCs w:val="28"/>
        </w:rPr>
        <w:t>项。2014年，集团获苏州市版权示范单位称号，2015年，集团获江苏省版权示范单位称号，同年 10月，获评“全国版权示范单位”。</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方正仿宋简体"/>
          <w:sz w:val="28"/>
          <w:szCs w:val="28"/>
          <w:lang w:val="en-US" w:eastAsia="zh-CN"/>
        </w:rPr>
      </w:pPr>
      <w:r>
        <w:rPr>
          <w:rFonts w:hint="eastAsia" w:ascii="仿宋" w:hAnsi="仿宋" w:eastAsia="仿宋" w:cs="方正仿宋简体"/>
          <w:sz w:val="28"/>
          <w:szCs w:val="28"/>
        </w:rPr>
        <w:t>公司在加强版权保护的</w:t>
      </w:r>
      <w:r>
        <w:rPr>
          <w:rFonts w:hint="eastAsia" w:ascii="仿宋" w:hAnsi="仿宋" w:eastAsia="仿宋" w:cs="方正仿宋简体"/>
          <w:sz w:val="28"/>
          <w:szCs w:val="28"/>
          <w:lang w:val="en-US" w:eastAsia="zh-CN"/>
        </w:rPr>
        <w:t>同时，着力推进版权登记应用，旗下品牌伊思贝得开展线上线下营销活动，将获得版权的设计应用到0-3岁的婴童装生产上，拓展了营销渠道，提高了集团的美誉度和客户的满意度。</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方正仿宋简体"/>
          <w:sz w:val="28"/>
          <w:szCs w:val="28"/>
          <w:lang w:val="en-US" w:eastAsia="zh-CN"/>
        </w:rPr>
      </w:pPr>
      <w:r>
        <w:rPr>
          <w:rFonts w:hint="eastAsia" w:ascii="仿宋" w:hAnsi="仿宋" w:eastAsia="仿宋" w:cs="方正仿宋简体"/>
          <w:sz w:val="28"/>
          <w:szCs w:val="28"/>
          <w:lang w:val="en-US" w:eastAsia="zh-CN"/>
        </w:rPr>
        <w:t>另外，集团自主品牌伊思贝得</w:t>
      </w:r>
      <w:r>
        <w:rPr>
          <w:rFonts w:hint="eastAsia" w:ascii="仿宋" w:hAnsi="仿宋" w:eastAsia="仿宋" w:cs="方正仿宋简体"/>
          <w:sz w:val="28"/>
          <w:szCs w:val="28"/>
          <w:lang w:val="en-US" w:eastAsia="zh-CN"/>
        </w:rPr>
        <w:t>是中国驰名商标，江苏名牌产品、江苏省重点培育和发展的国际知名品牌。</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方正仿宋简体"/>
          <w:sz w:val="28"/>
          <w:szCs w:val="28"/>
          <w:lang w:val="en-US" w:eastAsia="zh-CN"/>
        </w:rPr>
      </w:pPr>
      <w:r>
        <w:rPr>
          <w:rFonts w:hint="eastAsia" w:ascii="仿宋" w:hAnsi="仿宋" w:eastAsia="仿宋" w:cs="方正仿宋简体"/>
          <w:sz w:val="28"/>
          <w:szCs w:val="28"/>
          <w:lang w:val="en-US" w:eastAsia="zh-CN"/>
        </w:rPr>
        <w:t>3、信息化建设</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方正仿宋简体"/>
          <w:sz w:val="28"/>
          <w:szCs w:val="28"/>
          <w:lang w:val="en-US" w:eastAsia="zh-CN"/>
        </w:rPr>
      </w:pPr>
      <w:r>
        <w:rPr>
          <w:rFonts w:hint="eastAsia" w:ascii="仿宋" w:hAnsi="仿宋" w:eastAsia="仿宋" w:cs="方正仿宋简体"/>
          <w:sz w:val="28"/>
          <w:szCs w:val="28"/>
          <w:lang w:val="en-US" w:eastAsia="zh-CN"/>
        </w:rPr>
        <w:t>公司坚持“以信息化带动工业化”，不断加快信息化建设步伐。</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方正仿宋简体"/>
          <w:sz w:val="28"/>
          <w:szCs w:val="28"/>
          <w:lang w:val="en-US" w:eastAsia="zh-CN"/>
        </w:rPr>
      </w:pPr>
      <w:r>
        <w:rPr>
          <w:rFonts w:hint="eastAsia" w:ascii="仿宋" w:hAnsi="仿宋" w:eastAsia="仿宋" w:cs="方正仿宋简体"/>
          <w:sz w:val="28"/>
          <w:szCs w:val="28"/>
          <w:lang w:val="en-US" w:eastAsia="zh-CN"/>
        </w:rPr>
        <w:t>东渡集团作为首批江苏省工业互联网示范工程（五星级上云企业）、江苏互联网与工业融合创新示范试点企业，通过衣拿智能制衣吊挂系统与DNA、MES、GST、ERP等系统进行无缝对接，打通了生产制造过程中的信息壁垒，通过MES系统实现互联互通，对车间采集的数据进行实时统计、分析、报告、报警、纠错防错、可视化监控，实现了“工业自动化”+“管理信息化”的高度融合，加快了企业工业与互联网融合进程，打造了全产业链、制造全流程、产品全生命周期管控与互联网融合发展的工业互联网标杆企业，推动了制造业与互联网融合创新的新模式，加快了企业数字化、网络化、智能化转型升级步伐。</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方正仿宋简体"/>
          <w:sz w:val="28"/>
          <w:szCs w:val="28"/>
          <w:lang w:val="en-US" w:eastAsia="zh-CN"/>
        </w:rPr>
      </w:pPr>
      <w:r>
        <w:rPr>
          <w:rFonts w:hint="eastAsia" w:ascii="仿宋" w:hAnsi="仿宋" w:eastAsia="仿宋" w:cs="方正仿宋简体"/>
          <w:sz w:val="28"/>
          <w:szCs w:val="28"/>
          <w:lang w:val="en-US" w:eastAsia="zh-CN"/>
        </w:rPr>
        <w:t>通过工业数据采集系统对接企业的CAD系统、MES生产执行系统、APS精益生产排程系统、AGV运输系统、智能吊挂系统等作数据交换，实现数据即时采集、联网分析、可视化展现、智能决策分析，并通过基于大数据分析的决策，对企业管理实现数字化、透明化、网络化的智能生产模式，对整个生产过程进行在线监控，从而提高生产效率与产品质量，极大的提升了东渡集团的计划科学化、生产过程协同化、工业与信息化的深度融合。</w:t>
      </w:r>
      <w:r>
        <w:rPr>
          <w:rFonts w:hint="eastAsia" w:ascii="仿宋" w:hAnsi="仿宋" w:eastAsia="仿宋" w:cs="方正仿宋简体"/>
          <w:sz w:val="28"/>
          <w:szCs w:val="28"/>
          <w:lang w:val="en-US" w:eastAsia="zh-CN"/>
        </w:rPr>
        <w:t>2012年获评“江苏省信息化与工业化融合试点企业”、“江苏省五星级数字企业”；2014年获评“工业企业质量标杆”；2015年获评第一批“江苏省示范智能车间”；2016年获评“国家级两化融合贯标试点企业”、“江苏互联网与工业融合创新示范试点企业”、2018年获评“纺织行业智能制造试点示范企业”、“苏州市第一批工业互联网典型应用企业”、2019年获评首批省工业互联网发展示范企业（五星级上云企业），同年，再次获评“江苏省示范智能车间”，并且作为全省纺织行业示范智能车间分享经验，参展2019年苏州电博会，为苏州智能制造融合发展中心新产品展区提供解决方案。</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方正仿宋简体"/>
          <w:sz w:val="28"/>
          <w:szCs w:val="28"/>
          <w:lang w:val="en-US" w:eastAsia="zh-CN"/>
        </w:rPr>
      </w:pPr>
      <w:r>
        <w:rPr>
          <w:rFonts w:hint="eastAsia" w:ascii="仿宋" w:hAnsi="仿宋" w:eastAsia="仿宋" w:cs="方正仿宋简体"/>
          <w:sz w:val="28"/>
          <w:szCs w:val="28"/>
          <w:lang w:val="en-US" w:eastAsia="zh-CN"/>
        </w:rPr>
        <w:t>4、质量建设</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方正仿宋简体"/>
          <w:sz w:val="28"/>
          <w:szCs w:val="28"/>
          <w:lang w:val="en-US" w:eastAsia="zh-CN"/>
        </w:rPr>
      </w:pPr>
      <w:r>
        <w:rPr>
          <w:rFonts w:hint="eastAsia" w:ascii="仿宋" w:hAnsi="仿宋" w:eastAsia="仿宋" w:cs="方正仿宋简体"/>
          <w:sz w:val="28"/>
          <w:szCs w:val="28"/>
          <w:lang w:val="en-US" w:eastAsia="zh-CN"/>
        </w:rPr>
        <w:t>公司成立之初就确立了“质量为本”、“以差异化的高质量赢取市场”的质量战略。基于在婴童装“六精六细”质量管控方面成效显著，被工信部评为“质量标杆企业”。多年来，公司持续地增加在质量管理、产品测试与产品检验方面的资源投入，目前已经形成了较为完备和卓有成效的质量管理体系。</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方正仿宋简体"/>
          <w:sz w:val="28"/>
          <w:szCs w:val="28"/>
          <w:lang w:val="en-US" w:eastAsia="zh-CN"/>
        </w:rPr>
      </w:pPr>
      <w:r>
        <w:rPr>
          <w:rFonts w:hint="eastAsia" w:ascii="仿宋" w:hAnsi="仿宋" w:eastAsia="仿宋" w:cs="方正仿宋简体"/>
          <w:sz w:val="28"/>
          <w:szCs w:val="28"/>
          <w:lang w:val="en-US" w:eastAsia="zh-CN"/>
        </w:rPr>
        <w:t>公司的质量管理体系严格按照ISO9000标准来制定和执行，实际运行要求高于ISO9000标准。通过多年的积累，公司在质量方面运用了精益生产、6S等大量的工具方法，并始终以行业领先的竞争对手为标杆。这些工具方法充实与完善了公司原有的质量体系，并获得了实际效果。公司每年接受来自客户与第三方的各类正式审核达到近五十次，均能顺利通过，并且有为数不少的客户都对公司的质量管理体系给予较高的评价。品质管理部以外部审核为契机，尽可能将公司各个运作细节完全透明、完全真实地呈现给审核方，希望能够通过外部审核尽可能多地暴露问题，进而实施持续改善。在品质管理部实施的内部审核中，同样是尽可能多地发现问题。通过这些问题的改善来推动整个体系的持续改善。</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方正仿宋简体"/>
          <w:sz w:val="28"/>
          <w:szCs w:val="28"/>
          <w:lang w:val="en-US" w:eastAsia="zh-CN"/>
        </w:rPr>
      </w:pPr>
      <w:r>
        <w:rPr>
          <w:rFonts w:hint="eastAsia" w:ascii="仿宋" w:hAnsi="仿宋" w:eastAsia="仿宋" w:cs="方正仿宋简体"/>
          <w:sz w:val="28"/>
          <w:szCs w:val="28"/>
          <w:lang w:val="en-US" w:eastAsia="zh-CN"/>
        </w:rPr>
        <w:t>质量管理始于培训、终于培训。培训工作在东渡集团始终被放在重要位置。各种类型、各种层次的培训在公司内有效开展，为公司的发展、人才的培养提供了强大的支持。比如，在质量培训方面，成熟的培训课程已达到三十多门，并针对检验员建立了技能等级考核制度，通过持续的培训、考试，提高了检验员团队的检验技能。</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方正仿宋简体"/>
          <w:sz w:val="28"/>
          <w:szCs w:val="28"/>
          <w:lang w:val="en-US" w:eastAsia="zh-CN"/>
        </w:rPr>
      </w:pPr>
      <w:r>
        <w:rPr>
          <w:rFonts w:hint="eastAsia" w:ascii="仿宋" w:hAnsi="仿宋" w:eastAsia="仿宋" w:cs="方正仿宋简体"/>
          <w:sz w:val="28"/>
          <w:szCs w:val="28"/>
          <w:lang w:val="en-US" w:eastAsia="zh-CN"/>
        </w:rPr>
        <w:t>同时，公司具有完善的质量检测系统，建有现代化实验室，配备了美国Tinius olsen进口双臂台式万能材料试验机、英国Gellowen进口垂直燃烧测试仪、美国X-Rite进口标准光源对色灯箱等检测设备，保证了东渡产品从原材料进厂到成衣出厂全过程的质量监控，从而有力地保证了产品</w:t>
      </w:r>
      <w:r>
        <w:rPr>
          <w:rFonts w:hint="eastAsia" w:ascii="仿宋" w:hAnsi="仿宋" w:eastAsia="仿宋" w:cs="方正仿宋简体"/>
          <w:sz w:val="28"/>
          <w:szCs w:val="28"/>
          <w:lang w:val="en-US" w:eastAsia="zh-CN"/>
        </w:rPr>
        <w:t>质量。先后获江苏省计量协会颁发的计量保证确认证书，江苏出入境检验检疫协会颁发的江苏质量诚信会员企业荣誉称号，并于2020年通过能源管理体系认证，2012年获苏州市质量奖，2014年获全国纺织行业质量奖、工业企业质量标杆，2018年获江苏纺织服装质量管理示范企业、江苏省重点培育和发展的国际知名品牌。</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方正仿宋简体"/>
          <w:sz w:val="28"/>
          <w:szCs w:val="28"/>
          <w:lang w:val="en-US" w:eastAsia="zh-CN"/>
        </w:rPr>
      </w:pP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方正仿宋简体"/>
          <w:sz w:val="28"/>
          <w:szCs w:val="28"/>
          <w:u w:val="single"/>
          <w:lang w:val="en-US" w:eastAsia="zh-CN"/>
        </w:rPr>
      </w:pPr>
      <w:r>
        <w:rPr>
          <w:rFonts w:hint="eastAsia" w:ascii="仿宋" w:hAnsi="仿宋" w:eastAsia="仿宋" w:cs="方正仿宋简体"/>
          <w:sz w:val="28"/>
          <w:szCs w:val="28"/>
          <w:u w:val="single"/>
          <w:lang w:val="en-US" w:eastAsia="zh-CN"/>
        </w:rPr>
        <w:t>绿色东渡——建设美丽江苏</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方正仿宋简体"/>
          <w:sz w:val="28"/>
          <w:szCs w:val="28"/>
          <w:lang w:val="en-US" w:eastAsia="zh-CN"/>
        </w:rPr>
      </w:pPr>
      <w:r>
        <w:rPr>
          <w:rFonts w:hint="eastAsia" w:ascii="仿宋" w:hAnsi="仿宋" w:eastAsia="仿宋" w:cs="方正仿宋简体"/>
          <w:sz w:val="28"/>
          <w:szCs w:val="28"/>
          <w:lang w:val="en-US" w:eastAsia="zh-CN"/>
        </w:rPr>
        <w:t>生态环境是大自然赐予的绿色财富，是人类赖以生存发展的基础。以切实履行企业公民责任方面的领先者为目标，东渡始终秉持着“绿色、低碳、循环”的发展理念。</w:t>
      </w:r>
    </w:p>
    <w:p>
      <w:pPr>
        <w:numPr>
          <w:ilvl w:val="0"/>
          <w:numId w:val="0"/>
        </w:numPr>
        <w:tabs>
          <w:tab w:val="left" w:pos="5437"/>
        </w:tabs>
        <w:spacing w:line="500" w:lineRule="exact"/>
        <w:ind w:firstLine="560" w:firstLineChars="200"/>
        <w:jc w:val="left"/>
        <w:rPr>
          <w:rFonts w:hint="eastAsia" w:ascii="仿宋" w:hAnsi="仿宋" w:eastAsia="仿宋" w:cs="方正仿宋简体"/>
          <w:color w:val="000000"/>
          <w:sz w:val="28"/>
          <w:szCs w:val="28"/>
          <w:shd w:val="clear" w:color="auto" w:fill="auto"/>
        </w:rPr>
      </w:pPr>
      <w:r>
        <w:rPr>
          <w:rFonts w:hint="eastAsia" w:ascii="仿宋" w:hAnsi="仿宋" w:eastAsia="仿宋" w:cs="方正仿宋简体"/>
          <w:sz w:val="28"/>
          <w:szCs w:val="28"/>
          <w:lang w:val="zh-CN" w:eastAsia="zh-CN"/>
        </w:rPr>
        <w:t>江苏东渡纺织集团作为全国针织行业龙头企业、江苏省服装出口基地主要企业，积极响应政府号召，开展绿色领导者创建工作，始终坚持科学发展观的先进理念，把环保先行、环保优先作为企业生命线放在企业各项工作的首位，高度重视对环境的保护和资源循环利用;高度重视企业与社会、自然的和谐发展，</w:t>
      </w:r>
      <w:r>
        <w:rPr>
          <w:rFonts w:hint="eastAsia" w:ascii="仿宋" w:hAnsi="仿宋" w:eastAsia="仿宋" w:cs="方正仿宋简体"/>
          <w:color w:val="000000"/>
          <w:sz w:val="28"/>
          <w:szCs w:val="28"/>
          <w:shd w:val="clear" w:color="auto" w:fill="auto"/>
        </w:rPr>
        <w:t>不断优化生产工艺，推进技术进步，严密管控有害禁用物质，在产品生产过程中尽可能减少使用有害物质。企业生产原料选用生态环保绿色可生物降解的纤维原料，整个生产过程中没有任何污染，并能够自然分解，对人体及环境无害。</w:t>
      </w:r>
    </w:p>
    <w:p>
      <w:pPr>
        <w:numPr>
          <w:ilvl w:val="0"/>
          <w:numId w:val="0"/>
        </w:numPr>
        <w:tabs>
          <w:tab w:val="left" w:pos="5437"/>
        </w:tabs>
        <w:spacing w:line="500" w:lineRule="exact"/>
        <w:ind w:firstLine="560" w:firstLineChars="200"/>
        <w:jc w:val="left"/>
        <w:rPr>
          <w:rFonts w:hint="eastAsia" w:ascii="仿宋" w:hAnsi="仿宋" w:eastAsia="仿宋" w:cs="方正仿宋简体"/>
          <w:color w:val="000000"/>
          <w:sz w:val="28"/>
          <w:szCs w:val="28"/>
          <w:shd w:val="clear" w:color="auto" w:fill="auto"/>
        </w:rPr>
      </w:pPr>
      <w:r>
        <w:rPr>
          <w:rFonts w:hint="eastAsia" w:ascii="仿宋" w:hAnsi="仿宋" w:eastAsia="仿宋" w:cs="方正仿宋简体"/>
          <w:color w:val="000000"/>
          <w:sz w:val="28"/>
          <w:szCs w:val="28"/>
          <w:shd w:val="clear" w:color="auto" w:fill="auto"/>
        </w:rPr>
        <w:t>同时选用环保型染化料助剂，染料的供应商经过Oeko-Tex100生态纺织品认证，禁止和限制使用纺织品上已知的可能存在的有害物质，并加入了有害化学物质零排放缔约品牌组织（ZDHC）；另外印花车间采用环保替代助剂EST替代尿素作为蒸化工序助剂，减少污染物产生和排放，实现了有害物质的替代。</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方正仿宋简体"/>
          <w:sz w:val="28"/>
          <w:szCs w:val="28"/>
          <w:lang w:val="zh-CN" w:eastAsia="zh-CN"/>
        </w:rPr>
      </w:pPr>
      <w:r>
        <w:rPr>
          <w:rFonts w:hint="eastAsia" w:ascii="仿宋" w:hAnsi="仿宋" w:eastAsia="仿宋" w:cs="方正仿宋简体"/>
          <w:color w:val="000000"/>
          <w:sz w:val="28"/>
          <w:szCs w:val="28"/>
          <w:shd w:val="clear" w:color="auto" w:fill="auto"/>
          <w:lang w:val="en-US" w:eastAsia="zh-CN"/>
        </w:rPr>
        <w:t>2022年</w:t>
      </w:r>
      <w:r>
        <w:rPr>
          <w:rFonts w:hint="eastAsia" w:ascii="仿宋" w:hAnsi="仿宋" w:eastAsia="仿宋" w:cs="方正仿宋简体"/>
          <w:sz w:val="28"/>
          <w:szCs w:val="28"/>
          <w:shd w:val="clear" w:color="auto" w:fill="auto"/>
          <w:lang w:val="en-US" w:eastAsia="zh-CN"/>
        </w:rPr>
        <w:t>实施太阳能光伏项目，</w:t>
      </w:r>
      <w:r>
        <w:rPr>
          <w:rFonts w:hint="eastAsia" w:ascii="仿宋" w:hAnsi="仿宋" w:eastAsia="仿宋" w:cs="方正仿宋简体"/>
          <w:color w:val="000000"/>
          <w:sz w:val="28"/>
          <w:szCs w:val="28"/>
          <w:shd w:val="clear" w:color="auto" w:fill="auto"/>
        </w:rPr>
        <w:t>利用房顶架设光伏电站，使用太阳能光伏发电，不仅空间利用率高，而且不影响企业内的日常作业，做到“自发自用、自用为主、余电上网”，解决自身用电的同时又降低了能耗，实现了节能减排。</w:t>
      </w:r>
    </w:p>
    <w:p>
      <w:pPr>
        <w:numPr>
          <w:ilvl w:val="0"/>
          <w:numId w:val="0"/>
        </w:numPr>
        <w:tabs>
          <w:tab w:val="left" w:pos="5437"/>
        </w:tabs>
        <w:spacing w:line="500" w:lineRule="exact"/>
        <w:ind w:firstLine="560" w:firstLineChars="200"/>
        <w:jc w:val="left"/>
        <w:rPr>
          <w:rFonts w:hint="eastAsia" w:ascii="仿宋" w:hAnsi="仿宋" w:eastAsia="仿宋" w:cs="方正仿宋简体"/>
          <w:sz w:val="28"/>
          <w:szCs w:val="28"/>
          <w:lang w:val="en-US" w:eastAsia="zh-CN"/>
        </w:rPr>
      </w:pPr>
      <w:r>
        <w:rPr>
          <w:rFonts w:hint="eastAsia" w:ascii="仿宋" w:hAnsi="仿宋" w:eastAsia="仿宋" w:cs="方正仿宋简体"/>
          <w:sz w:val="28"/>
          <w:szCs w:val="28"/>
          <w:lang w:val="zh-CN" w:eastAsia="zh-CN"/>
        </w:rPr>
        <w:t>正是在这样的经营理念指导下，东渡集团取得了快速发展，其生产销售规模、科研创新能力、环境保护水平得到了显著提升，先后获</w:t>
      </w:r>
      <w:r>
        <w:rPr>
          <w:rFonts w:hint="eastAsia" w:ascii="仿宋" w:hAnsi="仿宋" w:eastAsia="仿宋" w:cs="方正仿宋简体"/>
          <w:sz w:val="28"/>
          <w:szCs w:val="28"/>
          <w:lang w:val="en-US" w:eastAsia="zh-CN"/>
        </w:rPr>
        <w:t>评</w:t>
      </w:r>
      <w:r>
        <w:rPr>
          <w:rFonts w:hint="eastAsia" w:ascii="仿宋_GB2312" w:hAnsi="仿宋_GB2312" w:eastAsia="仿宋_GB2312" w:cs="仿宋_GB2312"/>
          <w:bCs/>
          <w:kern w:val="0"/>
          <w:sz w:val="28"/>
          <w:szCs w:val="28"/>
          <w:highlight w:val="none"/>
        </w:rPr>
        <w:t>“全国纺织行业管理创新成果大奖”“绿色发展领跑者企业”“纺织行业水效领跑者企业”“纺织行业绿色发展企业”</w:t>
      </w:r>
      <w:r>
        <w:rPr>
          <w:rFonts w:hint="eastAsia" w:ascii="仿宋_GB2312" w:hAnsi="仿宋_GB2312" w:eastAsia="仿宋_GB2312" w:cs="仿宋_GB2312"/>
          <w:bCs/>
          <w:kern w:val="0"/>
          <w:sz w:val="28"/>
          <w:szCs w:val="28"/>
          <w:highlight w:val="none"/>
          <w:lang w:eastAsia="zh-CN"/>
        </w:rPr>
        <w:t>，</w:t>
      </w:r>
      <w:r>
        <w:rPr>
          <w:rFonts w:hint="eastAsia" w:ascii="仿宋" w:hAnsi="仿宋" w:eastAsia="仿宋" w:cs="方正仿宋简体"/>
          <w:sz w:val="28"/>
          <w:szCs w:val="28"/>
          <w:lang w:val="en-US" w:eastAsia="zh-CN"/>
        </w:rPr>
        <w:t>2020年获评“国家级绿色工厂”，2022年获评“国家级绿色产品”。</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方正仿宋简体"/>
          <w:sz w:val="28"/>
          <w:szCs w:val="28"/>
          <w:lang w:val="zh-CN" w:eastAsia="zh-CN"/>
        </w:rPr>
      </w:pPr>
    </w:p>
    <w:p>
      <w:pPr>
        <w:numPr>
          <w:ilvl w:val="0"/>
          <w:numId w:val="0"/>
        </w:numPr>
        <w:tabs>
          <w:tab w:val="left" w:pos="5437"/>
        </w:tabs>
        <w:spacing w:line="500" w:lineRule="exact"/>
        <w:ind w:firstLine="560" w:firstLineChars="200"/>
        <w:jc w:val="left"/>
        <w:rPr>
          <w:rFonts w:hint="eastAsia" w:ascii="仿宋" w:hAnsi="仿宋" w:eastAsia="仿宋" w:cs="方正仿宋简体"/>
          <w:color w:val="000000"/>
          <w:sz w:val="28"/>
          <w:szCs w:val="28"/>
          <w:u w:val="single"/>
          <w:shd w:val="clear" w:color="auto" w:fill="auto"/>
        </w:rPr>
      </w:pPr>
      <w:r>
        <w:rPr>
          <w:rFonts w:hint="eastAsia" w:ascii="仿宋" w:hAnsi="仿宋" w:eastAsia="仿宋" w:cs="方正仿宋简体"/>
          <w:color w:val="000000"/>
          <w:sz w:val="28"/>
          <w:szCs w:val="28"/>
          <w:u w:val="single"/>
          <w:shd w:val="clear" w:color="auto" w:fill="auto"/>
        </w:rPr>
        <w:t>幸福</w:t>
      </w:r>
      <w:r>
        <w:rPr>
          <w:rFonts w:hint="eastAsia" w:ascii="仿宋" w:hAnsi="仿宋" w:eastAsia="仿宋" w:cs="方正仿宋简体"/>
          <w:color w:val="000000"/>
          <w:sz w:val="28"/>
          <w:szCs w:val="28"/>
          <w:u w:val="single"/>
          <w:shd w:val="clear" w:color="auto" w:fill="auto"/>
          <w:lang w:val="en-US" w:eastAsia="zh-CN"/>
        </w:rPr>
        <w:t>东渡</w:t>
      </w:r>
      <w:r>
        <w:rPr>
          <w:rFonts w:hint="eastAsia" w:ascii="仿宋" w:hAnsi="仿宋" w:eastAsia="仿宋" w:cs="方正仿宋简体"/>
          <w:color w:val="000000"/>
          <w:sz w:val="28"/>
          <w:szCs w:val="28"/>
          <w:u w:val="single"/>
          <w:shd w:val="clear" w:color="auto" w:fill="auto"/>
        </w:rPr>
        <w:t>——构建和谐社会</w:t>
      </w:r>
    </w:p>
    <w:p>
      <w:pPr>
        <w:numPr>
          <w:ilvl w:val="0"/>
          <w:numId w:val="0"/>
        </w:numPr>
        <w:tabs>
          <w:tab w:val="left" w:pos="5437"/>
        </w:tabs>
        <w:spacing w:line="500" w:lineRule="exact"/>
        <w:ind w:firstLine="560" w:firstLineChars="200"/>
        <w:jc w:val="left"/>
        <w:rPr>
          <w:rFonts w:hint="eastAsia" w:ascii="仿宋" w:hAnsi="仿宋" w:eastAsia="仿宋" w:cs="方正仿宋简体"/>
          <w:color w:val="000000"/>
          <w:sz w:val="28"/>
          <w:szCs w:val="28"/>
          <w:shd w:val="clear" w:color="auto" w:fill="auto"/>
        </w:rPr>
      </w:pPr>
      <w:r>
        <w:rPr>
          <w:rFonts w:hint="eastAsia" w:ascii="仿宋" w:hAnsi="仿宋" w:eastAsia="仿宋" w:cs="方正仿宋简体"/>
          <w:color w:val="000000"/>
          <w:sz w:val="28"/>
          <w:szCs w:val="28"/>
          <w:shd w:val="clear" w:color="auto" w:fill="auto"/>
        </w:rPr>
        <w:t>近年来，集团将做好企业的就业和社会保障工作与贯彻落实企业长远发展规划结合起来，以人为本，创新思路，坚持从维护员工利益出发，为员工谋福利，调动了员工的积极性和创造性，取得较好效果，赢得社会和企业员工的赞誉。</w:t>
      </w:r>
    </w:p>
    <w:p>
      <w:pPr>
        <w:numPr>
          <w:ilvl w:val="0"/>
          <w:numId w:val="0"/>
        </w:numPr>
        <w:tabs>
          <w:tab w:val="left" w:pos="5437"/>
        </w:tabs>
        <w:spacing w:line="500" w:lineRule="exact"/>
        <w:ind w:firstLine="560" w:firstLineChars="200"/>
        <w:jc w:val="left"/>
        <w:rPr>
          <w:rFonts w:hint="eastAsia" w:ascii="仿宋" w:hAnsi="仿宋" w:eastAsia="仿宋" w:cs="方正仿宋简体"/>
          <w:color w:val="000000"/>
          <w:sz w:val="28"/>
          <w:szCs w:val="28"/>
          <w:shd w:val="clear" w:color="auto" w:fill="auto"/>
        </w:rPr>
      </w:pPr>
      <w:r>
        <w:rPr>
          <w:rFonts w:hint="eastAsia" w:ascii="仿宋" w:hAnsi="仿宋" w:eastAsia="仿宋" w:cs="方正仿宋简体"/>
          <w:color w:val="000000"/>
          <w:sz w:val="28"/>
          <w:szCs w:val="28"/>
          <w:shd w:val="clear" w:color="auto" w:fill="auto"/>
          <w:lang w:val="en-US" w:eastAsia="zh-CN"/>
        </w:rPr>
        <w:t>1、</w:t>
      </w:r>
      <w:r>
        <w:rPr>
          <w:rFonts w:hint="eastAsia" w:ascii="仿宋" w:hAnsi="仿宋" w:eastAsia="仿宋" w:cs="方正仿宋简体"/>
          <w:color w:val="000000"/>
          <w:sz w:val="28"/>
          <w:szCs w:val="28"/>
          <w:shd w:val="clear" w:color="auto" w:fill="auto"/>
        </w:rPr>
        <w:t>建立健全各种制度，保障员工权益</w:t>
      </w:r>
    </w:p>
    <w:p>
      <w:pPr>
        <w:numPr>
          <w:ilvl w:val="0"/>
          <w:numId w:val="0"/>
        </w:numPr>
        <w:tabs>
          <w:tab w:val="left" w:pos="5437"/>
        </w:tabs>
        <w:spacing w:line="500" w:lineRule="exact"/>
        <w:ind w:firstLine="560" w:firstLineChars="200"/>
        <w:jc w:val="left"/>
        <w:rPr>
          <w:rFonts w:hint="eastAsia" w:ascii="仿宋" w:hAnsi="仿宋" w:eastAsia="仿宋" w:cs="方正仿宋简体"/>
          <w:color w:val="000000"/>
          <w:sz w:val="28"/>
          <w:szCs w:val="28"/>
          <w:shd w:val="clear" w:color="auto" w:fill="auto"/>
        </w:rPr>
      </w:pPr>
      <w:r>
        <w:rPr>
          <w:rFonts w:hint="eastAsia" w:ascii="仿宋" w:hAnsi="仿宋" w:eastAsia="仿宋" w:cs="方正仿宋简体"/>
          <w:color w:val="000000"/>
          <w:sz w:val="28"/>
          <w:szCs w:val="28"/>
          <w:shd w:val="clear" w:color="auto" w:fill="auto"/>
        </w:rPr>
        <w:t>东渡纺织集团长期坚持职工民主管理监督机制，推行厂务公开，增强企业运作透明度，保障职工的政治民主权利。与此同时，公司多次组织职工代表集中系统地学习新《劳动合同法》和《劳动合同法解读》，展了以劳动争议为主要内容的维权活动。在日常工作中，对职工的合理诉求，工会积极向有关方面反应，并督促解决。迄今为止，公司职工中未发生一起劳动争议。</w:t>
      </w:r>
    </w:p>
    <w:p>
      <w:pPr>
        <w:numPr>
          <w:ilvl w:val="0"/>
          <w:numId w:val="0"/>
        </w:numPr>
        <w:tabs>
          <w:tab w:val="left" w:pos="5437"/>
        </w:tabs>
        <w:spacing w:line="500" w:lineRule="exact"/>
        <w:ind w:firstLine="560" w:firstLineChars="200"/>
        <w:jc w:val="left"/>
        <w:rPr>
          <w:rFonts w:hint="eastAsia" w:ascii="仿宋" w:hAnsi="仿宋" w:eastAsia="仿宋" w:cs="方正仿宋简体"/>
          <w:color w:val="000000"/>
          <w:sz w:val="28"/>
          <w:szCs w:val="28"/>
          <w:shd w:val="clear" w:color="auto" w:fill="auto"/>
        </w:rPr>
      </w:pPr>
      <w:r>
        <w:rPr>
          <w:rFonts w:hint="eastAsia" w:ascii="仿宋" w:hAnsi="仿宋" w:eastAsia="仿宋" w:cs="方正仿宋简体"/>
          <w:color w:val="000000"/>
          <w:sz w:val="28"/>
          <w:szCs w:val="28"/>
          <w:shd w:val="clear" w:color="auto" w:fill="auto"/>
          <w:lang w:val="en-US" w:eastAsia="zh-CN"/>
        </w:rPr>
        <w:t>2、</w:t>
      </w:r>
      <w:r>
        <w:rPr>
          <w:rFonts w:hint="eastAsia" w:ascii="仿宋" w:hAnsi="仿宋" w:eastAsia="仿宋" w:cs="方正仿宋简体"/>
          <w:color w:val="000000"/>
          <w:sz w:val="28"/>
          <w:szCs w:val="28"/>
          <w:shd w:val="clear" w:color="auto" w:fill="auto"/>
        </w:rPr>
        <w:t>多效并举，拓宽渠道创造就业岗位</w:t>
      </w:r>
    </w:p>
    <w:p>
      <w:pPr>
        <w:numPr>
          <w:ilvl w:val="0"/>
          <w:numId w:val="0"/>
        </w:numPr>
        <w:tabs>
          <w:tab w:val="left" w:pos="5437"/>
        </w:tabs>
        <w:spacing w:line="500" w:lineRule="exact"/>
        <w:ind w:firstLine="560" w:firstLineChars="200"/>
        <w:jc w:val="left"/>
        <w:rPr>
          <w:rFonts w:hint="eastAsia" w:ascii="仿宋" w:hAnsi="仿宋" w:eastAsia="仿宋" w:cs="方正仿宋简体"/>
          <w:color w:val="000000"/>
          <w:sz w:val="28"/>
          <w:szCs w:val="28"/>
          <w:shd w:val="clear" w:color="auto" w:fill="auto"/>
        </w:rPr>
      </w:pPr>
      <w:r>
        <w:rPr>
          <w:rFonts w:hint="eastAsia" w:ascii="仿宋" w:hAnsi="仿宋" w:eastAsia="仿宋" w:cs="方正仿宋简体"/>
          <w:color w:val="000000"/>
          <w:sz w:val="28"/>
          <w:szCs w:val="28"/>
          <w:shd w:val="clear" w:color="auto" w:fill="auto"/>
        </w:rPr>
        <w:t>集团坚持“以人为本”的发展战略，推行了与市场接轨的人才聘用机制，另外，推行情感留人、事业留人，待遇留人的用人机制，为企业员工创造良好的生活、工作环境。进入21世纪，东渡集团采用了“巩固苏中、开发苏北、关注西北”的战略，努力实现市场的多元化和跨区域经营，先后在泗阳、如皋开设工厂，吸收当地劳动力进厂工作，为当地的劳动力就业做出了突出贡献，</w:t>
      </w:r>
    </w:p>
    <w:p>
      <w:pPr>
        <w:numPr>
          <w:ilvl w:val="0"/>
          <w:numId w:val="0"/>
        </w:numPr>
        <w:tabs>
          <w:tab w:val="left" w:pos="5437"/>
        </w:tabs>
        <w:spacing w:line="500" w:lineRule="exact"/>
        <w:ind w:firstLine="560" w:firstLineChars="200"/>
        <w:jc w:val="left"/>
        <w:rPr>
          <w:rFonts w:hint="eastAsia" w:ascii="仿宋" w:hAnsi="仿宋" w:eastAsia="仿宋" w:cs="方正仿宋简体"/>
          <w:color w:val="000000"/>
          <w:sz w:val="28"/>
          <w:szCs w:val="28"/>
          <w:shd w:val="clear" w:color="auto" w:fill="auto"/>
        </w:rPr>
      </w:pPr>
      <w:r>
        <w:rPr>
          <w:rFonts w:hint="eastAsia" w:ascii="仿宋" w:hAnsi="仿宋" w:eastAsia="仿宋" w:cs="方正仿宋简体"/>
          <w:color w:val="000000"/>
          <w:sz w:val="28"/>
          <w:szCs w:val="28"/>
          <w:shd w:val="clear" w:color="auto" w:fill="auto"/>
          <w:lang w:val="en-US" w:eastAsia="zh-CN"/>
        </w:rPr>
        <w:t>3、</w:t>
      </w:r>
      <w:r>
        <w:rPr>
          <w:rFonts w:hint="eastAsia" w:ascii="仿宋" w:hAnsi="仿宋" w:eastAsia="仿宋" w:cs="方正仿宋简体"/>
          <w:color w:val="000000"/>
          <w:sz w:val="28"/>
          <w:szCs w:val="28"/>
          <w:shd w:val="clear" w:color="auto" w:fill="auto"/>
        </w:rPr>
        <w:t>提高职工素质，积极开展技术创新活动</w:t>
      </w:r>
    </w:p>
    <w:p>
      <w:pPr>
        <w:numPr>
          <w:ilvl w:val="0"/>
          <w:numId w:val="0"/>
        </w:numPr>
        <w:tabs>
          <w:tab w:val="left" w:pos="5437"/>
        </w:tabs>
        <w:spacing w:line="500" w:lineRule="exact"/>
        <w:ind w:firstLine="560" w:firstLineChars="200"/>
        <w:jc w:val="left"/>
        <w:rPr>
          <w:rFonts w:hint="eastAsia" w:ascii="仿宋" w:hAnsi="仿宋" w:eastAsia="仿宋" w:cs="方正仿宋简体"/>
          <w:color w:val="000000"/>
          <w:sz w:val="28"/>
          <w:szCs w:val="28"/>
          <w:shd w:val="clear" w:color="auto" w:fill="auto"/>
        </w:rPr>
      </w:pPr>
      <w:r>
        <w:rPr>
          <w:rFonts w:hint="eastAsia" w:ascii="仿宋" w:hAnsi="仿宋" w:eastAsia="仿宋" w:cs="方正仿宋简体"/>
          <w:color w:val="000000"/>
          <w:sz w:val="28"/>
          <w:szCs w:val="28"/>
          <w:shd w:val="clear" w:color="auto" w:fill="auto"/>
        </w:rPr>
        <w:t>东渡纺织集团始终把加强职工教育</w:t>
      </w:r>
      <w:r>
        <w:rPr>
          <w:rFonts w:hint="eastAsia" w:ascii="仿宋" w:hAnsi="仿宋" w:eastAsia="仿宋" w:cs="方正仿宋简体"/>
          <w:color w:val="000000"/>
          <w:sz w:val="28"/>
          <w:szCs w:val="28"/>
          <w:shd w:val="clear" w:color="auto" w:fill="auto"/>
        </w:rPr>
        <w:fldChar w:fldCharType="begin"/>
      </w:r>
      <w:r>
        <w:rPr>
          <w:rFonts w:hint="eastAsia" w:ascii="仿宋" w:hAnsi="仿宋" w:eastAsia="仿宋" w:cs="方正仿宋简体"/>
          <w:color w:val="000000"/>
          <w:sz w:val="28"/>
          <w:szCs w:val="28"/>
          <w:shd w:val="clear" w:color="auto" w:fill="auto"/>
        </w:rPr>
        <w:instrText xml:space="preserve"> HYPERLINK "http://train.veryeast.cn/" \t "_blank" </w:instrText>
      </w:r>
      <w:r>
        <w:rPr>
          <w:rFonts w:hint="eastAsia" w:ascii="仿宋" w:hAnsi="仿宋" w:eastAsia="仿宋" w:cs="方正仿宋简体"/>
          <w:color w:val="000000"/>
          <w:sz w:val="28"/>
          <w:szCs w:val="28"/>
          <w:shd w:val="clear" w:color="auto" w:fill="auto"/>
        </w:rPr>
        <w:fldChar w:fldCharType="separate"/>
      </w:r>
      <w:r>
        <w:rPr>
          <w:rFonts w:hint="eastAsia" w:ascii="仿宋" w:hAnsi="仿宋" w:eastAsia="仿宋" w:cs="方正仿宋简体"/>
          <w:color w:val="000000"/>
          <w:sz w:val="28"/>
          <w:szCs w:val="28"/>
          <w:shd w:val="clear" w:color="auto" w:fill="auto"/>
        </w:rPr>
        <w:t>培训</w:t>
      </w:r>
      <w:r>
        <w:rPr>
          <w:rFonts w:hint="eastAsia" w:ascii="仿宋" w:hAnsi="仿宋" w:eastAsia="仿宋" w:cs="方正仿宋简体"/>
          <w:color w:val="000000"/>
          <w:sz w:val="28"/>
          <w:szCs w:val="28"/>
          <w:shd w:val="clear" w:color="auto" w:fill="auto"/>
        </w:rPr>
        <w:fldChar w:fldCharType="end"/>
      </w:r>
      <w:r>
        <w:rPr>
          <w:rFonts w:hint="eastAsia" w:ascii="仿宋" w:hAnsi="仿宋" w:eastAsia="仿宋" w:cs="方正仿宋简体"/>
          <w:color w:val="000000"/>
          <w:sz w:val="28"/>
          <w:szCs w:val="28"/>
          <w:shd w:val="clear" w:color="auto" w:fill="auto"/>
        </w:rPr>
        <w:t>、提高职工素质作为企业发展的系统工程长抓不懈。公司首先从提高职工安全意识和安全技能入手，在不断建立健全安全生产管理制度的基础上，深入开展了安全生产、职业卫生防护等项目的宣教培训，进一步加强了员工的安全生产意识和安全技能。对于某些特殊岗位，公司实施持证上岗，凡新上岗的大型机械设备操作人员必须经过</w:t>
      </w:r>
      <w:r>
        <w:rPr>
          <w:rFonts w:hint="eastAsia" w:ascii="仿宋" w:hAnsi="仿宋" w:eastAsia="仿宋" w:cs="方正仿宋简体"/>
          <w:color w:val="000000"/>
          <w:sz w:val="28"/>
          <w:szCs w:val="28"/>
          <w:shd w:val="clear" w:color="auto" w:fill="auto"/>
        </w:rPr>
        <w:fldChar w:fldCharType="begin"/>
      </w:r>
      <w:r>
        <w:rPr>
          <w:rFonts w:hint="eastAsia" w:ascii="仿宋" w:hAnsi="仿宋" w:eastAsia="仿宋" w:cs="方正仿宋简体"/>
          <w:color w:val="000000"/>
          <w:sz w:val="28"/>
          <w:szCs w:val="28"/>
          <w:shd w:val="clear" w:color="auto" w:fill="auto"/>
        </w:rPr>
        <w:instrText xml:space="preserve"> HYPERLINK "http://train.veryeast.cn/" \t "_blank" </w:instrText>
      </w:r>
      <w:r>
        <w:rPr>
          <w:rFonts w:hint="eastAsia" w:ascii="仿宋" w:hAnsi="仿宋" w:eastAsia="仿宋" w:cs="方正仿宋简体"/>
          <w:color w:val="000000"/>
          <w:sz w:val="28"/>
          <w:szCs w:val="28"/>
          <w:shd w:val="clear" w:color="auto" w:fill="auto"/>
        </w:rPr>
        <w:fldChar w:fldCharType="separate"/>
      </w:r>
      <w:r>
        <w:rPr>
          <w:rFonts w:hint="eastAsia" w:ascii="仿宋" w:hAnsi="仿宋" w:eastAsia="仿宋" w:cs="方正仿宋简体"/>
          <w:color w:val="000000"/>
          <w:sz w:val="28"/>
          <w:szCs w:val="28"/>
          <w:shd w:val="clear" w:color="auto" w:fill="auto"/>
        </w:rPr>
        <w:t>培训</w:t>
      </w:r>
      <w:r>
        <w:rPr>
          <w:rFonts w:hint="eastAsia" w:ascii="仿宋" w:hAnsi="仿宋" w:eastAsia="仿宋" w:cs="方正仿宋简体"/>
          <w:color w:val="000000"/>
          <w:sz w:val="28"/>
          <w:szCs w:val="28"/>
          <w:shd w:val="clear" w:color="auto" w:fill="auto"/>
        </w:rPr>
        <w:fldChar w:fldCharType="end"/>
      </w:r>
      <w:r>
        <w:rPr>
          <w:rFonts w:hint="eastAsia" w:ascii="仿宋" w:hAnsi="仿宋" w:eastAsia="仿宋" w:cs="方正仿宋简体"/>
          <w:color w:val="000000"/>
          <w:sz w:val="28"/>
          <w:szCs w:val="28"/>
          <w:shd w:val="clear" w:color="auto" w:fill="auto"/>
        </w:rPr>
        <w:t>，对各种机器设备全面了解之后方可上岗，近年来，公司没有发现任何重大工伤事故。</w:t>
      </w:r>
    </w:p>
    <w:p>
      <w:pPr>
        <w:numPr>
          <w:ilvl w:val="0"/>
          <w:numId w:val="0"/>
        </w:numPr>
        <w:tabs>
          <w:tab w:val="left" w:pos="5437"/>
        </w:tabs>
        <w:spacing w:line="500" w:lineRule="exact"/>
        <w:ind w:firstLine="560" w:firstLineChars="200"/>
        <w:jc w:val="left"/>
        <w:rPr>
          <w:rFonts w:hint="eastAsia" w:ascii="仿宋" w:hAnsi="仿宋" w:eastAsia="仿宋" w:cs="方正仿宋简体"/>
          <w:color w:val="000000"/>
          <w:sz w:val="28"/>
          <w:szCs w:val="28"/>
          <w:shd w:val="clear" w:color="auto" w:fill="auto"/>
        </w:rPr>
      </w:pPr>
      <w:r>
        <w:rPr>
          <w:rFonts w:hint="eastAsia" w:ascii="仿宋" w:hAnsi="仿宋" w:eastAsia="仿宋" w:cs="方正仿宋简体"/>
          <w:color w:val="000000"/>
          <w:sz w:val="28"/>
          <w:szCs w:val="28"/>
          <w:shd w:val="clear" w:color="auto" w:fill="auto"/>
          <w:lang w:val="en-US" w:eastAsia="zh-CN"/>
        </w:rPr>
        <w:t>4、</w:t>
      </w:r>
      <w:r>
        <w:rPr>
          <w:rFonts w:hint="eastAsia" w:ascii="仿宋" w:hAnsi="仿宋" w:eastAsia="仿宋" w:cs="方正仿宋简体"/>
          <w:color w:val="000000"/>
          <w:sz w:val="28"/>
          <w:szCs w:val="28"/>
          <w:shd w:val="clear" w:color="auto" w:fill="auto"/>
        </w:rPr>
        <w:t>开展校企合作，努力实现资源优化</w:t>
      </w:r>
    </w:p>
    <w:p>
      <w:pPr>
        <w:numPr>
          <w:ilvl w:val="0"/>
          <w:numId w:val="0"/>
        </w:numPr>
        <w:tabs>
          <w:tab w:val="left" w:pos="5437"/>
        </w:tabs>
        <w:spacing w:line="500" w:lineRule="exact"/>
        <w:ind w:firstLine="560" w:firstLineChars="200"/>
        <w:jc w:val="left"/>
        <w:rPr>
          <w:rFonts w:hint="eastAsia" w:ascii="仿宋" w:hAnsi="仿宋" w:eastAsia="仿宋" w:cs="方正仿宋简体"/>
          <w:color w:val="000000"/>
          <w:sz w:val="28"/>
          <w:szCs w:val="28"/>
          <w:shd w:val="clear" w:color="auto" w:fill="auto"/>
        </w:rPr>
      </w:pPr>
      <w:r>
        <w:rPr>
          <w:rFonts w:hint="eastAsia" w:ascii="仿宋" w:hAnsi="仿宋" w:eastAsia="仿宋" w:cs="方正仿宋简体"/>
          <w:color w:val="000000"/>
          <w:sz w:val="28"/>
          <w:szCs w:val="28"/>
          <w:shd w:val="clear" w:color="auto" w:fill="auto"/>
        </w:rPr>
        <w:t>公司领导班子高度重视企业人才建设，近年来，公司与苏州大学、</w:t>
      </w:r>
      <w:r>
        <w:rPr>
          <w:rFonts w:hint="eastAsia" w:ascii="仿宋" w:hAnsi="仿宋" w:eastAsia="仿宋" w:cs="方正仿宋简体"/>
          <w:color w:val="000000"/>
          <w:sz w:val="28"/>
          <w:szCs w:val="28"/>
          <w:shd w:val="clear" w:color="auto" w:fill="auto"/>
          <w:lang w:val="en-US" w:eastAsia="zh-CN"/>
        </w:rPr>
        <w:t>苏州经贸职业技术学院</w:t>
      </w:r>
      <w:r>
        <w:rPr>
          <w:rFonts w:hint="eastAsia" w:ascii="仿宋" w:hAnsi="仿宋" w:eastAsia="仿宋" w:cs="方正仿宋简体"/>
          <w:color w:val="000000"/>
          <w:sz w:val="28"/>
          <w:szCs w:val="28"/>
          <w:shd w:val="clear" w:color="auto" w:fill="auto"/>
        </w:rPr>
        <w:t>等开展校企合作，利用新技术，开发新产品。同时</w:t>
      </w:r>
      <w:r>
        <w:rPr>
          <w:rFonts w:hint="eastAsia" w:ascii="仿宋" w:hAnsi="仿宋" w:eastAsia="仿宋" w:cs="方正仿宋简体"/>
          <w:color w:val="000000"/>
          <w:sz w:val="28"/>
          <w:szCs w:val="28"/>
          <w:shd w:val="clear" w:color="auto" w:fill="auto"/>
          <w:lang w:eastAsia="zh-CN"/>
        </w:rPr>
        <w:t>，</w:t>
      </w:r>
      <w:r>
        <w:rPr>
          <w:rFonts w:hint="eastAsia" w:ascii="仿宋" w:hAnsi="仿宋" w:eastAsia="仿宋" w:cs="方正仿宋简体"/>
          <w:sz w:val="28"/>
          <w:szCs w:val="28"/>
        </w:rPr>
        <w:t>紧跟国家战略，顺应对口帮扶，实现帮扶双赢，构建沿河人员就业的新渠道和新机制。和沿河中专校、洲职业工学院、陕西城市经济学校</w:t>
      </w:r>
      <w:r>
        <w:rPr>
          <w:rFonts w:hint="eastAsia" w:ascii="仿宋" w:hAnsi="仿宋" w:eastAsia="仿宋" w:cs="方正仿宋简体"/>
          <w:sz w:val="28"/>
          <w:szCs w:val="28"/>
          <w:lang w:val="en-US" w:eastAsia="zh-CN"/>
        </w:rPr>
        <w:t>等</w:t>
      </w:r>
      <w:r>
        <w:rPr>
          <w:rFonts w:hint="eastAsia" w:ascii="仿宋" w:hAnsi="仿宋" w:eastAsia="仿宋" w:cs="方正仿宋简体"/>
          <w:sz w:val="28"/>
          <w:szCs w:val="28"/>
        </w:rPr>
        <w:t>高校共同培养应用型、技能型人才，培育大批的能工巧匠，为企业的长远发展打下坚实的基础，</w:t>
      </w:r>
    </w:p>
    <w:p>
      <w:pPr>
        <w:numPr>
          <w:ilvl w:val="0"/>
          <w:numId w:val="0"/>
        </w:numPr>
        <w:tabs>
          <w:tab w:val="left" w:pos="5437"/>
        </w:tabs>
        <w:spacing w:line="500" w:lineRule="exact"/>
        <w:ind w:firstLine="560" w:firstLineChars="200"/>
        <w:jc w:val="left"/>
        <w:rPr>
          <w:rFonts w:hint="eastAsia" w:ascii="仿宋" w:hAnsi="仿宋" w:eastAsia="仿宋" w:cs="方正仿宋简体"/>
          <w:color w:val="000000"/>
          <w:sz w:val="28"/>
          <w:szCs w:val="28"/>
          <w:shd w:val="clear" w:color="auto" w:fill="auto"/>
        </w:rPr>
      </w:pPr>
      <w:r>
        <w:rPr>
          <w:rFonts w:hint="eastAsia" w:ascii="仿宋" w:hAnsi="仿宋" w:eastAsia="仿宋" w:cs="方正仿宋简体"/>
          <w:color w:val="000000"/>
          <w:sz w:val="28"/>
          <w:szCs w:val="28"/>
          <w:shd w:val="clear" w:color="auto" w:fill="auto"/>
          <w:lang w:val="en-US" w:eastAsia="zh-CN"/>
        </w:rPr>
        <w:t>5、</w:t>
      </w:r>
      <w:r>
        <w:rPr>
          <w:rFonts w:hint="eastAsia" w:ascii="仿宋" w:hAnsi="仿宋" w:eastAsia="仿宋" w:cs="方正仿宋简体"/>
          <w:color w:val="000000"/>
          <w:sz w:val="28"/>
          <w:szCs w:val="28"/>
          <w:shd w:val="clear" w:color="auto" w:fill="auto"/>
        </w:rPr>
        <w:t>强化厂务公开，创建和谐劳动关系</w:t>
      </w:r>
    </w:p>
    <w:p>
      <w:pPr>
        <w:numPr>
          <w:ilvl w:val="0"/>
          <w:numId w:val="0"/>
        </w:numPr>
        <w:tabs>
          <w:tab w:val="left" w:pos="5437"/>
        </w:tabs>
        <w:spacing w:line="500" w:lineRule="exact"/>
        <w:ind w:firstLine="560" w:firstLineChars="200"/>
        <w:jc w:val="left"/>
        <w:rPr>
          <w:rFonts w:hint="eastAsia" w:ascii="仿宋" w:hAnsi="仿宋" w:eastAsia="仿宋" w:cs="方正仿宋简体"/>
          <w:color w:val="000000"/>
          <w:sz w:val="28"/>
          <w:szCs w:val="28"/>
          <w:shd w:val="clear" w:color="auto" w:fill="auto"/>
        </w:rPr>
      </w:pPr>
      <w:r>
        <w:rPr>
          <w:rFonts w:hint="eastAsia" w:ascii="仿宋" w:hAnsi="仿宋" w:eastAsia="仿宋" w:cs="方正仿宋简体"/>
          <w:color w:val="000000"/>
          <w:sz w:val="28"/>
          <w:szCs w:val="28"/>
          <w:shd w:val="clear" w:color="auto" w:fill="auto"/>
        </w:rPr>
        <w:t>对于推进厂务公开、民主管理，公司特别注重与企业的生产经营管理的有机结合。无论是公司实行整体结构调整战略、还是技改扩能上新项目，都向职工公开，特别是近年来企业面临的市场竞争压力、科技创新和新技术开发的压力、内部管理创新和集团改组实现自主生存的压力、健康稳定发展的压力、企业实现年度效益目标的压力，公司会通过职代会、经济活动分析会、形势任务报告会、厂情发布会以及文件、公示栏等多种形式毫无删减地传递给广大职工，向职工亮家底，把企业领导面临的压力变成全体职工的压力，广大职工的危机意识和责任感大大增强，厂务公开由此成为进一步密切党群关系、干群关系，增强企业凝聚力，推动企业改革、发展和稳定的动力。</w:t>
      </w:r>
    </w:p>
    <w:p>
      <w:pPr>
        <w:numPr>
          <w:ilvl w:val="0"/>
          <w:numId w:val="0"/>
        </w:numPr>
        <w:tabs>
          <w:tab w:val="left" w:pos="5437"/>
        </w:tabs>
        <w:spacing w:line="500" w:lineRule="exact"/>
        <w:ind w:firstLine="560" w:firstLineChars="200"/>
        <w:jc w:val="left"/>
        <w:rPr>
          <w:rFonts w:hint="eastAsia" w:ascii="仿宋" w:hAnsi="仿宋" w:eastAsia="仿宋" w:cs="方正仿宋简体"/>
          <w:color w:val="000000"/>
          <w:sz w:val="28"/>
          <w:szCs w:val="28"/>
          <w:shd w:val="clear" w:color="auto" w:fill="auto"/>
        </w:rPr>
      </w:pPr>
      <w:r>
        <w:rPr>
          <w:rFonts w:hint="eastAsia" w:ascii="仿宋" w:hAnsi="仿宋" w:eastAsia="仿宋" w:cs="方正仿宋简体"/>
          <w:color w:val="000000"/>
          <w:sz w:val="28"/>
          <w:szCs w:val="28"/>
          <w:shd w:val="clear" w:color="auto" w:fill="auto"/>
        </w:rPr>
        <w:t>多年来长期有效的厂务公开工作，使公司已形成较完善的厂务公开、民主管理制度，建有一套行之有效的监督制约机制，切实保障职工的知情权、参与权、决策权和监督权。一是重点发挥职工代表大会的主体作用。近年来，公司逐步实施了劳动、用工、分配等多项制度改革，制度出台以后，均面向职工广泛征求意见和建议，并经职代会审议通过后实施，充分保障了职工群众的知情权、参与权、表达权和监督权。二是重点推进厂务公开的纵深发展。近年来，公司厂务公开、民主管理由局部公开向全面公开、定期公开向常态公开、发布式公开向互动性公开转变。公司厂务公开目前已经延伸至生产经营、人才管理及党风廉政建设等领域，本着实事求是的态度，客观、全面、真实、准确地进行公开。</w:t>
      </w:r>
    </w:p>
    <w:p>
      <w:pPr>
        <w:numPr>
          <w:ilvl w:val="0"/>
          <w:numId w:val="0"/>
        </w:numPr>
        <w:tabs>
          <w:tab w:val="left" w:pos="5437"/>
        </w:tabs>
        <w:spacing w:line="500" w:lineRule="exact"/>
        <w:ind w:firstLine="560" w:firstLineChars="200"/>
        <w:jc w:val="left"/>
        <w:rPr>
          <w:rFonts w:hint="eastAsia" w:ascii="仿宋" w:hAnsi="仿宋" w:eastAsia="仿宋" w:cs="方正仿宋简体"/>
          <w:color w:val="000000"/>
          <w:sz w:val="28"/>
          <w:szCs w:val="28"/>
          <w:shd w:val="clear" w:color="auto" w:fill="auto"/>
          <w:lang w:val="en-US" w:eastAsia="zh-CN"/>
        </w:rPr>
      </w:pPr>
      <w:r>
        <w:rPr>
          <w:rFonts w:hint="eastAsia" w:ascii="仿宋" w:hAnsi="仿宋" w:eastAsia="仿宋" w:cs="方正仿宋简体"/>
          <w:color w:val="000000"/>
          <w:sz w:val="28"/>
          <w:szCs w:val="28"/>
          <w:shd w:val="clear" w:color="auto" w:fill="auto"/>
          <w:lang w:val="en-US" w:eastAsia="zh-CN"/>
        </w:rPr>
        <w:t>6、坚持效益共享，提升企业凝聚力</w:t>
      </w:r>
    </w:p>
    <w:p>
      <w:pPr>
        <w:numPr>
          <w:ilvl w:val="0"/>
          <w:numId w:val="0"/>
        </w:numPr>
        <w:tabs>
          <w:tab w:val="left" w:pos="5437"/>
        </w:tabs>
        <w:spacing w:line="500" w:lineRule="exact"/>
        <w:ind w:firstLine="560" w:firstLineChars="200"/>
        <w:jc w:val="left"/>
        <w:rPr>
          <w:rFonts w:hint="eastAsia" w:ascii="仿宋" w:hAnsi="仿宋" w:eastAsia="仿宋" w:cs="方正仿宋简体"/>
          <w:color w:val="000000"/>
          <w:sz w:val="28"/>
          <w:szCs w:val="28"/>
          <w:shd w:val="clear" w:color="auto" w:fill="auto"/>
        </w:rPr>
      </w:pPr>
      <w:r>
        <w:rPr>
          <w:rFonts w:hint="eastAsia" w:ascii="仿宋" w:hAnsi="仿宋" w:eastAsia="仿宋" w:cs="方正仿宋简体"/>
          <w:color w:val="000000"/>
          <w:sz w:val="28"/>
          <w:szCs w:val="28"/>
          <w:shd w:val="clear" w:color="auto" w:fill="auto"/>
        </w:rPr>
        <w:t>多年来，东渡集团的广大员工分享着丰硕的成果和创业的红利，公司为员工提供免费工作餐、免费员工宿舍，工龄全勤奖、节日慰问奖等，全心全意为员工着想，安排新进职工体检，为员工提供优良的工作生活条件，为员工缴纳保险和公积金，为员工提供学习机会，组织员工旅游和大学生拓展活动。彰显了东渡集团“员工之家，厂兴我荣，共同创造，成果分享”人性化的管理理念，促进了员工薪酬及福利待遇的大幅提高，幸福指数有了较大的提升。</w:t>
      </w:r>
    </w:p>
    <w:p>
      <w:pPr>
        <w:numPr>
          <w:ilvl w:val="0"/>
          <w:numId w:val="0"/>
        </w:numPr>
        <w:tabs>
          <w:tab w:val="left" w:pos="5437"/>
        </w:tabs>
        <w:spacing w:line="500" w:lineRule="exact"/>
        <w:ind w:firstLine="560" w:firstLineChars="200"/>
        <w:jc w:val="left"/>
        <w:rPr>
          <w:rFonts w:hint="eastAsia" w:ascii="仿宋" w:hAnsi="仿宋" w:eastAsia="仿宋" w:cs="方正仿宋简体"/>
          <w:color w:val="000000"/>
          <w:sz w:val="28"/>
          <w:szCs w:val="28"/>
          <w:shd w:val="clear" w:color="auto" w:fill="auto"/>
        </w:rPr>
      </w:pPr>
      <w:r>
        <w:rPr>
          <w:rFonts w:hint="eastAsia" w:ascii="仿宋" w:hAnsi="仿宋" w:eastAsia="仿宋" w:cs="方正仿宋简体"/>
          <w:color w:val="000000"/>
          <w:sz w:val="28"/>
          <w:szCs w:val="28"/>
          <w:shd w:val="clear" w:color="auto" w:fill="auto"/>
        </w:rPr>
        <w:t>集团公司为弘扬企业文化，丰富职工业余文化生活，于2010年建成红帆文化中心。文化中心位于公司新总部西南角职工生活圈内，占地面积2000平方米，建筑面积提升到2500平方米，容积率达167%，内设演艺大厅、卡拉OK厅、图书馆等，为职工提供业余文化生活空间。红帆文化中心共三大片区、七大项目。三大片区包括影音区、图书区、活动区，共有影视厅、棋牌室、健身房、乒乓球/台球室、电子阅览室、图书馆、报刊阅览室等七个项目，供员工在业余时间学习和休息。</w:t>
      </w:r>
    </w:p>
    <w:p>
      <w:pPr>
        <w:numPr>
          <w:ilvl w:val="0"/>
          <w:numId w:val="0"/>
        </w:numPr>
        <w:tabs>
          <w:tab w:val="left" w:pos="5437"/>
        </w:tabs>
        <w:spacing w:line="500" w:lineRule="exact"/>
        <w:ind w:firstLine="560" w:firstLineChars="200"/>
        <w:jc w:val="left"/>
        <w:rPr>
          <w:rFonts w:hint="eastAsia" w:ascii="仿宋" w:hAnsi="仿宋" w:eastAsia="仿宋" w:cs="方正仿宋简体"/>
          <w:color w:val="000000"/>
          <w:sz w:val="28"/>
          <w:szCs w:val="28"/>
          <w:shd w:val="clear" w:color="auto" w:fill="auto"/>
        </w:rPr>
      </w:pPr>
      <w:r>
        <w:rPr>
          <w:rFonts w:hint="eastAsia" w:ascii="仿宋" w:hAnsi="仿宋" w:eastAsia="仿宋" w:cs="方正仿宋简体"/>
          <w:color w:val="000000"/>
          <w:sz w:val="28"/>
          <w:szCs w:val="28"/>
          <w:shd w:val="clear" w:color="auto" w:fill="auto"/>
        </w:rPr>
        <w:t>深入开展生态文明宣传工作，通过形式分析、决策诠释、动态报道、典型宣传、深度报道等形式，普及生态文明知识，提高企业员工生态环境的忧患意识和主体意识，进一步提升生态文明的认知水平。</w:t>
      </w:r>
      <w:r>
        <w:rPr>
          <w:rFonts w:hint="eastAsia" w:ascii="仿宋" w:hAnsi="仿宋" w:eastAsia="仿宋" w:cs="方正仿宋简体"/>
          <w:color w:val="000000"/>
          <w:sz w:val="28"/>
          <w:szCs w:val="28"/>
          <w:shd w:val="clear" w:color="auto" w:fill="auto"/>
          <w:lang w:eastAsia="zh-CN"/>
        </w:rPr>
        <w:t>历年来，东渡集团开展了一系列带有东渡特色的生态文明公益活动，包括职工操作技能大赛、运动会、工时完成率评比、“心汇聚</w:t>
      </w:r>
      <w:r>
        <w:rPr>
          <w:rFonts w:hint="eastAsia" w:ascii="仿宋" w:hAnsi="仿宋" w:eastAsia="仿宋" w:cs="方正仿宋简体"/>
          <w:color w:val="000000"/>
          <w:sz w:val="28"/>
          <w:szCs w:val="28"/>
          <w:shd w:val="clear" w:color="auto" w:fill="auto"/>
          <w:lang w:val="en-US" w:eastAsia="zh-CN"/>
        </w:rPr>
        <w:t xml:space="preserve"> 爱飞翔</w:t>
      </w:r>
      <w:r>
        <w:rPr>
          <w:rFonts w:hint="eastAsia" w:ascii="仿宋" w:hAnsi="仿宋" w:eastAsia="仿宋" w:cs="方正仿宋简体"/>
          <w:color w:val="000000"/>
          <w:sz w:val="28"/>
          <w:szCs w:val="28"/>
          <w:shd w:val="clear" w:color="auto" w:fill="auto"/>
          <w:lang w:eastAsia="zh-CN"/>
        </w:rPr>
        <w:t>”新市民子女关爱行动、“伊思贝得▪爱在六一”公益之旅活动。</w:t>
      </w:r>
    </w:p>
    <w:p>
      <w:pPr>
        <w:numPr>
          <w:ilvl w:val="0"/>
          <w:numId w:val="0"/>
        </w:numPr>
        <w:tabs>
          <w:tab w:val="left" w:pos="5437"/>
        </w:tabs>
        <w:spacing w:line="500" w:lineRule="exact"/>
        <w:ind w:firstLine="560" w:firstLineChars="200"/>
        <w:jc w:val="left"/>
        <w:rPr>
          <w:rFonts w:hint="eastAsia" w:ascii="仿宋" w:hAnsi="仿宋" w:eastAsia="仿宋" w:cs="方正仿宋简体"/>
          <w:color w:val="000000"/>
          <w:sz w:val="28"/>
          <w:szCs w:val="28"/>
          <w:shd w:val="clear" w:color="auto" w:fill="auto"/>
          <w:lang w:eastAsia="zh-CN"/>
        </w:rPr>
      </w:pPr>
      <w:r>
        <w:rPr>
          <w:rFonts w:hint="eastAsia" w:ascii="仿宋" w:hAnsi="仿宋" w:eastAsia="仿宋" w:cs="方正仿宋简体"/>
          <w:color w:val="000000"/>
          <w:sz w:val="28"/>
          <w:szCs w:val="28"/>
          <w:shd w:val="clear" w:color="auto" w:fill="auto"/>
          <w:lang w:val="en-US" w:eastAsia="zh-CN"/>
        </w:rPr>
        <w:t>7、</w:t>
      </w:r>
      <w:r>
        <w:rPr>
          <w:rFonts w:hint="eastAsia" w:ascii="仿宋" w:hAnsi="仿宋" w:eastAsia="仿宋" w:cs="方正仿宋简体"/>
          <w:color w:val="000000"/>
          <w:sz w:val="28"/>
          <w:szCs w:val="28"/>
          <w:shd w:val="clear" w:color="auto" w:fill="auto"/>
        </w:rPr>
        <w:t>回馈社会，热心公益事业</w:t>
      </w:r>
    </w:p>
    <w:p>
      <w:pPr>
        <w:spacing w:line="520" w:lineRule="exact"/>
        <w:ind w:firstLine="560" w:firstLineChars="200"/>
        <w:jc w:val="left"/>
        <w:rPr>
          <w:rFonts w:ascii="仿宋" w:hAnsi="仿宋" w:eastAsia="仿宋" w:cs="方正仿宋简体"/>
          <w:sz w:val="28"/>
          <w:szCs w:val="28"/>
        </w:rPr>
      </w:pPr>
      <w:r>
        <w:rPr>
          <w:rFonts w:hint="eastAsia" w:ascii="仿宋" w:hAnsi="仿宋" w:eastAsia="仿宋" w:cs="方正仿宋简体"/>
          <w:color w:val="000000"/>
          <w:sz w:val="28"/>
          <w:szCs w:val="28"/>
          <w:shd w:val="clear" w:color="auto" w:fill="auto"/>
        </w:rPr>
        <w:t>东渡集团一直积极参与公益事业，做一个有责任的企业，在创造价值的同时不忘回报社会。</w:t>
      </w:r>
      <w:r>
        <w:rPr>
          <w:rFonts w:hint="eastAsia" w:ascii="仿宋" w:hAnsi="仿宋" w:eastAsia="仿宋" w:cs="方正仿宋简体"/>
          <w:sz w:val="28"/>
          <w:szCs w:val="28"/>
        </w:rPr>
        <w:t>一直</w:t>
      </w:r>
      <w:r>
        <w:rPr>
          <w:rFonts w:hint="eastAsia" w:ascii="仿宋" w:hAnsi="仿宋" w:eastAsia="仿宋" w:cs="方正仿宋简体"/>
          <w:sz w:val="28"/>
          <w:szCs w:val="28"/>
          <w:lang w:val="en-US" w:eastAsia="zh-CN"/>
        </w:rPr>
        <w:t>以来</w:t>
      </w:r>
      <w:r>
        <w:rPr>
          <w:rFonts w:hint="eastAsia" w:ascii="仿宋" w:hAnsi="仿宋" w:eastAsia="仿宋" w:cs="方正仿宋简体"/>
          <w:sz w:val="28"/>
          <w:szCs w:val="28"/>
        </w:rPr>
        <w:t>心系职工，积极为职工办实事、做好事、解难事。每年的</w:t>
      </w:r>
      <w:r>
        <w:rPr>
          <w:rFonts w:hint="eastAsia" w:ascii="仿宋" w:hAnsi="仿宋" w:eastAsia="仿宋" w:cs="方正仿宋简体"/>
          <w:sz w:val="28"/>
          <w:szCs w:val="28"/>
          <w:lang w:val="en-US" w:eastAsia="zh-CN"/>
        </w:rPr>
        <w:t>中秋及春节</w:t>
      </w:r>
      <w:r>
        <w:rPr>
          <w:rFonts w:hint="eastAsia" w:ascii="仿宋" w:hAnsi="仿宋" w:eastAsia="仿宋" w:cs="方正仿宋简体"/>
          <w:sz w:val="28"/>
          <w:szCs w:val="28"/>
        </w:rPr>
        <w:t>，工会都对全公司职工进行慰问，并发放过节物资，另外，公司通过工龄全勤补贴等形式提高员工积极性，同时，积极为职工子女或亲属入学、就业提供帮助，每逢职工住院或婚丧等，工会都给予物质慰问，对家境贫困或遭受突发事故的职工，工会更是格外关心，并定期组织帮扶活动。</w:t>
      </w:r>
    </w:p>
    <w:p>
      <w:pPr>
        <w:spacing w:line="520" w:lineRule="exact"/>
        <w:ind w:firstLine="560" w:firstLineChars="200"/>
        <w:jc w:val="left"/>
        <w:rPr>
          <w:rFonts w:hint="default" w:ascii="仿宋" w:hAnsi="仿宋" w:eastAsia="仿宋" w:cs="方正仿宋简体"/>
          <w:sz w:val="28"/>
          <w:szCs w:val="28"/>
          <w:lang w:val="en-US" w:eastAsia="zh-CN"/>
        </w:rPr>
      </w:pPr>
      <w:r>
        <w:rPr>
          <w:rFonts w:hint="eastAsia" w:ascii="仿宋" w:hAnsi="仿宋" w:eastAsia="仿宋" w:cs="方正仿宋简体"/>
          <w:sz w:val="28"/>
          <w:szCs w:val="28"/>
        </w:rPr>
        <w:t>东渡纺织集团在发展的同时，十分关注社会公益事业，用自己的实际行动，奉献爱心，支援抗震救灾，热心支持社会问题事业，回报社会。集团在适合的岗位上安置残疾人员，减轻社会就业压力。定期开展义务献血、志愿者服务、爱国卫生月活动。积极响应国家、当地政府的号召，支持社会公益活动，同时公司时常自主策划公益活动回馈社会。</w:t>
      </w:r>
      <w:r>
        <w:rPr>
          <w:rFonts w:hint="eastAsia" w:ascii="仿宋" w:hAnsi="仿宋" w:eastAsia="仿宋" w:cs="方正仿宋简体"/>
          <w:sz w:val="28"/>
          <w:szCs w:val="28"/>
          <w:lang w:val="en-US" w:eastAsia="zh-CN"/>
        </w:rPr>
        <w:t>疫情期间，组织向新冠疫情管控区志愿者以及高速卡口捐赠服装以及慰问品等，积极践行社会责任。</w:t>
      </w:r>
    </w:p>
    <w:p>
      <w:pPr>
        <w:spacing w:line="520" w:lineRule="exact"/>
        <w:ind w:firstLine="562" w:firstLineChars="200"/>
        <w:jc w:val="left"/>
        <w:rPr>
          <w:rFonts w:hint="eastAsia" w:ascii="仿宋" w:hAnsi="仿宋" w:eastAsia="仿宋" w:cs="方正仿宋简体"/>
          <w:b/>
          <w:bCs/>
          <w:sz w:val="28"/>
          <w:szCs w:val="28"/>
        </w:rPr>
      </w:pPr>
    </w:p>
    <w:p>
      <w:pPr>
        <w:pStyle w:val="2"/>
        <w:rPr>
          <w:rFonts w:hint="eastAsia" w:ascii="仿宋" w:hAnsi="仿宋" w:eastAsia="仿宋" w:cs="方正仿宋简体"/>
          <w:b/>
          <w:bCs/>
          <w:sz w:val="28"/>
          <w:szCs w:val="28"/>
        </w:rPr>
      </w:pPr>
    </w:p>
    <w:p>
      <w:pPr>
        <w:pStyle w:val="2"/>
        <w:ind w:left="0" w:leftChars="0" w:firstLine="0" w:firstLineChars="0"/>
        <w:rPr>
          <w:rFonts w:hint="eastAsia" w:ascii="仿宋" w:hAnsi="仿宋" w:eastAsia="仿宋" w:cs="方正仿宋简体"/>
          <w:b/>
          <w:bCs/>
          <w:sz w:val="28"/>
          <w:szCs w:val="28"/>
        </w:rPr>
      </w:pPr>
    </w:p>
    <w:p>
      <w:pPr>
        <w:pStyle w:val="2"/>
        <w:rPr>
          <w:rFonts w:hint="eastAsia" w:ascii="仿宋" w:hAnsi="仿宋" w:eastAsia="仿宋" w:cs="方正仿宋简体"/>
          <w:b/>
          <w:bCs/>
          <w:sz w:val="28"/>
          <w:szCs w:val="28"/>
        </w:rPr>
      </w:pPr>
    </w:p>
    <w:p>
      <w:pPr>
        <w:pStyle w:val="2"/>
        <w:rPr>
          <w:rFonts w:hint="eastAsia" w:ascii="仿宋" w:hAnsi="仿宋" w:eastAsia="仿宋" w:cs="方正仿宋简体"/>
          <w:b/>
          <w:bCs/>
          <w:sz w:val="28"/>
          <w:szCs w:val="28"/>
        </w:rPr>
      </w:pPr>
      <w:bookmarkStart w:id="0" w:name="_GoBack"/>
      <w:bookmarkEnd w:id="0"/>
    </w:p>
    <w:p>
      <w:pPr>
        <w:spacing w:line="520" w:lineRule="exact"/>
        <w:ind w:firstLine="562" w:firstLineChars="200"/>
        <w:jc w:val="left"/>
        <w:rPr>
          <w:rFonts w:hint="default" w:ascii="仿宋" w:hAnsi="仿宋" w:eastAsia="仿宋" w:cs="方正仿宋简体"/>
          <w:b/>
          <w:bCs/>
          <w:sz w:val="28"/>
          <w:szCs w:val="28"/>
          <w:lang w:val="en-US" w:eastAsia="zh-CN"/>
        </w:rPr>
      </w:pPr>
      <w:r>
        <w:rPr>
          <w:rFonts w:hint="eastAsia" w:ascii="仿宋" w:hAnsi="仿宋" w:eastAsia="仿宋" w:cs="方正仿宋简体"/>
          <w:b/>
          <w:bCs/>
          <w:sz w:val="28"/>
          <w:szCs w:val="28"/>
        </w:rPr>
        <w:t>五、展望20</w:t>
      </w:r>
      <w:r>
        <w:rPr>
          <w:rFonts w:hint="eastAsia" w:ascii="仿宋" w:hAnsi="仿宋" w:eastAsia="仿宋" w:cs="方正仿宋简体"/>
          <w:b/>
          <w:bCs/>
          <w:sz w:val="28"/>
          <w:szCs w:val="28"/>
          <w:lang w:val="en-US" w:eastAsia="zh-CN"/>
        </w:rPr>
        <w:t>23</w:t>
      </w:r>
    </w:p>
    <w:tbl>
      <w:tblPr>
        <w:tblStyle w:val="15"/>
        <w:tblpPr w:leftFromText="180" w:rightFromText="180" w:vertAnchor="text" w:horzAnchor="page" w:tblpX="2167" w:tblpY="413"/>
        <w:tblW w:w="8383" w:type="dxa"/>
        <w:jc w:val="center"/>
        <w:tblLayout w:type="fixed"/>
        <w:tblCellMar>
          <w:top w:w="0" w:type="dxa"/>
          <w:left w:w="108" w:type="dxa"/>
          <w:bottom w:w="0" w:type="dxa"/>
          <w:right w:w="108" w:type="dxa"/>
        </w:tblCellMar>
      </w:tblPr>
      <w:tblGrid>
        <w:gridCol w:w="2146"/>
        <w:gridCol w:w="6237"/>
      </w:tblGrid>
      <w:tr>
        <w:tblPrEx>
          <w:tblCellMar>
            <w:top w:w="0" w:type="dxa"/>
            <w:left w:w="108" w:type="dxa"/>
            <w:bottom w:w="0" w:type="dxa"/>
            <w:right w:w="108" w:type="dxa"/>
          </w:tblCellMar>
        </w:tblPrEx>
        <w:trPr>
          <w:trHeight w:val="675" w:hRule="atLeast"/>
          <w:jc w:val="center"/>
        </w:trPr>
        <w:tc>
          <w:tcPr>
            <w:tcW w:w="2146" w:type="dxa"/>
            <w:tcBorders>
              <w:top w:val="single" w:color="auto" w:sz="4" w:space="0"/>
              <w:left w:val="single" w:color="auto" w:sz="4" w:space="0"/>
              <w:bottom w:val="single" w:color="auto" w:sz="4" w:space="0"/>
              <w:right w:val="single" w:color="auto" w:sz="4" w:space="0"/>
            </w:tcBorders>
            <w:shd w:val="clear" w:color="000000" w:fill="C5D9F1"/>
            <w:vAlign w:val="center"/>
          </w:tcPr>
          <w:p>
            <w:pPr>
              <w:widowControl/>
              <w:spacing w:line="520" w:lineRule="exact"/>
              <w:jc w:val="center"/>
              <w:rPr>
                <w:rFonts w:hint="eastAsia" w:ascii="仿宋" w:hAnsi="仿宋" w:eastAsia="仿宋" w:cs="仿宋"/>
                <w:b/>
                <w:bCs/>
                <w:color w:val="000000"/>
                <w:kern w:val="0"/>
                <w:sz w:val="28"/>
                <w:szCs w:val="28"/>
              </w:rPr>
            </w:pPr>
            <w:r>
              <w:rPr>
                <w:rFonts w:hint="eastAsia" w:ascii="仿宋" w:hAnsi="仿宋" w:eastAsia="仿宋" w:cs="仿宋"/>
                <w:b/>
                <w:bCs/>
                <w:color w:val="000000"/>
                <w:kern w:val="0"/>
                <w:sz w:val="28"/>
                <w:szCs w:val="28"/>
              </w:rPr>
              <w:t>责任领域</w:t>
            </w:r>
          </w:p>
        </w:tc>
        <w:tc>
          <w:tcPr>
            <w:tcW w:w="6237" w:type="dxa"/>
            <w:tcBorders>
              <w:top w:val="single" w:color="auto" w:sz="4" w:space="0"/>
              <w:left w:val="nil"/>
              <w:bottom w:val="single" w:color="auto" w:sz="4" w:space="0"/>
              <w:right w:val="single" w:color="auto" w:sz="4" w:space="0"/>
            </w:tcBorders>
            <w:shd w:val="clear" w:color="000000" w:fill="C5D9F1"/>
            <w:vAlign w:val="center"/>
          </w:tcPr>
          <w:p>
            <w:pPr>
              <w:widowControl/>
              <w:spacing w:line="520" w:lineRule="exact"/>
              <w:jc w:val="center"/>
              <w:rPr>
                <w:rFonts w:hint="eastAsia" w:ascii="仿宋" w:hAnsi="仿宋" w:eastAsia="仿宋" w:cs="仿宋"/>
                <w:b/>
                <w:bCs/>
                <w:color w:val="000000"/>
                <w:kern w:val="0"/>
                <w:sz w:val="28"/>
                <w:szCs w:val="28"/>
              </w:rPr>
            </w:pPr>
            <w:r>
              <w:rPr>
                <w:rFonts w:hint="eastAsia" w:ascii="仿宋" w:hAnsi="仿宋" w:eastAsia="仿宋" w:cs="仿宋"/>
                <w:b/>
                <w:bCs/>
                <w:color w:val="000000"/>
                <w:kern w:val="0"/>
                <w:sz w:val="28"/>
                <w:szCs w:val="28"/>
              </w:rPr>
              <w:t>责任承诺</w:t>
            </w:r>
          </w:p>
        </w:tc>
      </w:tr>
      <w:tr>
        <w:tblPrEx>
          <w:tblCellMar>
            <w:top w:w="0" w:type="dxa"/>
            <w:left w:w="108" w:type="dxa"/>
            <w:bottom w:w="0" w:type="dxa"/>
            <w:right w:w="108" w:type="dxa"/>
          </w:tblCellMar>
        </w:tblPrEx>
        <w:trPr>
          <w:trHeight w:val="2320" w:hRule="atLeast"/>
          <w:jc w:val="center"/>
        </w:trPr>
        <w:tc>
          <w:tcPr>
            <w:tcW w:w="2146" w:type="dxa"/>
            <w:tcBorders>
              <w:top w:val="nil"/>
              <w:left w:val="single" w:color="auto" w:sz="4" w:space="0"/>
              <w:bottom w:val="single" w:color="auto" w:sz="4" w:space="0"/>
              <w:right w:val="single" w:color="auto" w:sz="4" w:space="0"/>
            </w:tcBorders>
            <w:shd w:val="clear" w:color="auto" w:fill="auto"/>
            <w:vAlign w:val="center"/>
          </w:tcPr>
          <w:p>
            <w:pPr>
              <w:widowControl/>
              <w:spacing w:line="520" w:lineRule="exact"/>
              <w:jc w:val="center"/>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rPr>
              <w:t>责任</w:t>
            </w:r>
            <w:r>
              <w:rPr>
                <w:rFonts w:hint="eastAsia" w:ascii="仿宋" w:hAnsi="仿宋" w:eastAsia="仿宋" w:cs="仿宋"/>
                <w:color w:val="000000"/>
                <w:kern w:val="0"/>
                <w:sz w:val="28"/>
                <w:szCs w:val="28"/>
                <w:lang w:val="en-US" w:eastAsia="zh-CN"/>
              </w:rPr>
              <w:t>东渡</w:t>
            </w:r>
          </w:p>
        </w:tc>
        <w:tc>
          <w:tcPr>
            <w:tcW w:w="6237" w:type="dxa"/>
            <w:tcBorders>
              <w:top w:val="nil"/>
              <w:left w:val="nil"/>
              <w:bottom w:val="single" w:color="auto" w:sz="4" w:space="0"/>
              <w:right w:val="single" w:color="auto" w:sz="4" w:space="0"/>
            </w:tcBorders>
            <w:shd w:val="clear" w:color="auto" w:fill="auto"/>
            <w:vAlign w:val="center"/>
          </w:tcPr>
          <w:p>
            <w:pPr>
              <w:widowControl/>
              <w:spacing w:line="520" w:lineRule="exact"/>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优化社会责任管理模型</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完善社会责任管理体系</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推动社会责任工作</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强化利益相关方利益</w:t>
            </w:r>
          </w:p>
        </w:tc>
      </w:tr>
      <w:tr>
        <w:tblPrEx>
          <w:tblCellMar>
            <w:top w:w="0" w:type="dxa"/>
            <w:left w:w="108" w:type="dxa"/>
            <w:bottom w:w="0" w:type="dxa"/>
            <w:right w:w="108" w:type="dxa"/>
          </w:tblCellMar>
        </w:tblPrEx>
        <w:trPr>
          <w:trHeight w:val="1785" w:hRule="atLeast"/>
          <w:jc w:val="center"/>
        </w:trPr>
        <w:tc>
          <w:tcPr>
            <w:tcW w:w="2146" w:type="dxa"/>
            <w:tcBorders>
              <w:top w:val="nil"/>
              <w:left w:val="single" w:color="auto" w:sz="4" w:space="0"/>
              <w:bottom w:val="single" w:color="auto" w:sz="4" w:space="0"/>
              <w:right w:val="single" w:color="auto" w:sz="4" w:space="0"/>
            </w:tcBorders>
            <w:shd w:val="clear" w:color="auto" w:fill="auto"/>
            <w:vAlign w:val="center"/>
          </w:tcPr>
          <w:p>
            <w:pPr>
              <w:widowControl/>
              <w:spacing w:line="520" w:lineRule="exact"/>
              <w:jc w:val="center"/>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rPr>
              <w:t>价值</w:t>
            </w:r>
            <w:r>
              <w:rPr>
                <w:rFonts w:hint="eastAsia" w:ascii="仿宋" w:hAnsi="仿宋" w:eastAsia="仿宋" w:cs="仿宋"/>
                <w:color w:val="000000"/>
                <w:kern w:val="0"/>
                <w:sz w:val="28"/>
                <w:szCs w:val="28"/>
                <w:lang w:val="en-US" w:eastAsia="zh-CN"/>
              </w:rPr>
              <w:t>东渡</w:t>
            </w:r>
          </w:p>
        </w:tc>
        <w:tc>
          <w:tcPr>
            <w:tcW w:w="6237" w:type="dxa"/>
            <w:tcBorders>
              <w:top w:val="nil"/>
              <w:left w:val="nil"/>
              <w:bottom w:val="single" w:color="auto" w:sz="4" w:space="0"/>
              <w:right w:val="single" w:color="auto" w:sz="4" w:space="0"/>
            </w:tcBorders>
            <w:shd w:val="clear" w:color="auto" w:fill="auto"/>
            <w:vAlign w:val="center"/>
          </w:tcPr>
          <w:p>
            <w:pPr>
              <w:widowControl/>
              <w:spacing w:line="520" w:lineRule="exact"/>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坚持稳健经营，确保良好业绩</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夯实基础管理，提升管理水平</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加强协同经营能力，创造更大价值</w:t>
            </w:r>
          </w:p>
        </w:tc>
      </w:tr>
      <w:tr>
        <w:tblPrEx>
          <w:tblCellMar>
            <w:top w:w="0" w:type="dxa"/>
            <w:left w:w="108" w:type="dxa"/>
            <w:bottom w:w="0" w:type="dxa"/>
            <w:right w:w="108" w:type="dxa"/>
          </w:tblCellMar>
        </w:tblPrEx>
        <w:trPr>
          <w:trHeight w:val="1295" w:hRule="atLeast"/>
          <w:jc w:val="center"/>
        </w:trPr>
        <w:tc>
          <w:tcPr>
            <w:tcW w:w="2146" w:type="dxa"/>
            <w:tcBorders>
              <w:top w:val="nil"/>
              <w:left w:val="single" w:color="auto" w:sz="4" w:space="0"/>
              <w:bottom w:val="single" w:color="auto" w:sz="4" w:space="0"/>
              <w:right w:val="single" w:color="auto" w:sz="4" w:space="0"/>
            </w:tcBorders>
            <w:shd w:val="clear" w:color="auto" w:fill="auto"/>
            <w:vAlign w:val="center"/>
          </w:tcPr>
          <w:p>
            <w:pPr>
              <w:widowControl/>
              <w:spacing w:line="520" w:lineRule="exact"/>
              <w:jc w:val="center"/>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rPr>
              <w:t>创新</w:t>
            </w:r>
            <w:r>
              <w:rPr>
                <w:rFonts w:hint="eastAsia" w:ascii="仿宋" w:hAnsi="仿宋" w:eastAsia="仿宋" w:cs="仿宋"/>
                <w:color w:val="000000"/>
                <w:kern w:val="0"/>
                <w:sz w:val="28"/>
                <w:szCs w:val="28"/>
                <w:lang w:val="en-US" w:eastAsia="zh-CN"/>
              </w:rPr>
              <w:t>东渡</w:t>
            </w:r>
          </w:p>
        </w:tc>
        <w:tc>
          <w:tcPr>
            <w:tcW w:w="6237" w:type="dxa"/>
            <w:tcBorders>
              <w:top w:val="nil"/>
              <w:left w:val="nil"/>
              <w:bottom w:val="single" w:color="auto" w:sz="4" w:space="0"/>
              <w:right w:val="single" w:color="auto" w:sz="4" w:space="0"/>
            </w:tcBorders>
            <w:shd w:val="clear" w:color="auto" w:fill="auto"/>
            <w:vAlign w:val="center"/>
          </w:tcPr>
          <w:p>
            <w:pPr>
              <w:widowControl/>
              <w:spacing w:line="520" w:lineRule="exact"/>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大力加强科技创新</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持续推进管理创新</w:t>
            </w:r>
          </w:p>
        </w:tc>
      </w:tr>
      <w:tr>
        <w:tblPrEx>
          <w:tblCellMar>
            <w:top w:w="0" w:type="dxa"/>
            <w:left w:w="108" w:type="dxa"/>
            <w:bottom w:w="0" w:type="dxa"/>
            <w:right w:w="108" w:type="dxa"/>
          </w:tblCellMar>
        </w:tblPrEx>
        <w:trPr>
          <w:trHeight w:val="2945" w:hRule="atLeast"/>
          <w:jc w:val="center"/>
        </w:trPr>
        <w:tc>
          <w:tcPr>
            <w:tcW w:w="2146" w:type="dxa"/>
            <w:tcBorders>
              <w:top w:val="nil"/>
              <w:left w:val="single" w:color="auto" w:sz="4" w:space="0"/>
              <w:bottom w:val="single" w:color="auto" w:sz="4" w:space="0"/>
              <w:right w:val="single" w:color="auto" w:sz="4" w:space="0"/>
            </w:tcBorders>
            <w:shd w:val="clear" w:color="auto" w:fill="auto"/>
            <w:vAlign w:val="center"/>
          </w:tcPr>
          <w:p>
            <w:pPr>
              <w:widowControl/>
              <w:spacing w:line="520" w:lineRule="exact"/>
              <w:jc w:val="center"/>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rPr>
              <w:t>绿色</w:t>
            </w:r>
            <w:r>
              <w:rPr>
                <w:rFonts w:hint="eastAsia" w:ascii="仿宋" w:hAnsi="仿宋" w:eastAsia="仿宋" w:cs="仿宋"/>
                <w:color w:val="000000"/>
                <w:kern w:val="0"/>
                <w:sz w:val="28"/>
                <w:szCs w:val="28"/>
                <w:lang w:val="en-US" w:eastAsia="zh-CN"/>
              </w:rPr>
              <w:t>东渡</w:t>
            </w:r>
          </w:p>
        </w:tc>
        <w:tc>
          <w:tcPr>
            <w:tcW w:w="6237" w:type="dxa"/>
            <w:tcBorders>
              <w:top w:val="nil"/>
              <w:left w:val="nil"/>
              <w:bottom w:val="single" w:color="auto" w:sz="4" w:space="0"/>
              <w:right w:val="single" w:color="auto" w:sz="4" w:space="0"/>
            </w:tcBorders>
            <w:shd w:val="clear" w:color="auto" w:fill="auto"/>
            <w:vAlign w:val="center"/>
          </w:tcPr>
          <w:p>
            <w:pPr>
              <w:widowControl/>
              <w:spacing w:line="520" w:lineRule="exact"/>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 xml:space="preserve">绿色管理体系进一步健全 </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绿色设计深入推进</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绿色理念融入生产运营</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绿色应用持续推广</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不断倡导绿色环保行动</w:t>
            </w:r>
          </w:p>
        </w:tc>
      </w:tr>
      <w:tr>
        <w:tblPrEx>
          <w:tblCellMar>
            <w:top w:w="0" w:type="dxa"/>
            <w:left w:w="108" w:type="dxa"/>
            <w:bottom w:w="0" w:type="dxa"/>
            <w:right w:w="108" w:type="dxa"/>
          </w:tblCellMar>
        </w:tblPrEx>
        <w:trPr>
          <w:trHeight w:val="2080" w:hRule="atLeast"/>
          <w:jc w:val="center"/>
        </w:trPr>
        <w:tc>
          <w:tcPr>
            <w:tcW w:w="2146" w:type="dxa"/>
            <w:tcBorders>
              <w:top w:val="nil"/>
              <w:left w:val="single" w:color="auto" w:sz="4" w:space="0"/>
              <w:bottom w:val="single" w:color="auto" w:sz="4" w:space="0"/>
              <w:right w:val="single" w:color="auto" w:sz="4" w:space="0"/>
            </w:tcBorders>
            <w:shd w:val="clear" w:color="auto" w:fill="auto"/>
            <w:vAlign w:val="center"/>
          </w:tcPr>
          <w:p>
            <w:pPr>
              <w:widowControl/>
              <w:spacing w:line="520" w:lineRule="exact"/>
              <w:jc w:val="center"/>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rPr>
              <w:t>幸福</w:t>
            </w:r>
            <w:r>
              <w:rPr>
                <w:rFonts w:hint="eastAsia" w:ascii="仿宋" w:hAnsi="仿宋" w:eastAsia="仿宋" w:cs="仿宋"/>
                <w:color w:val="000000"/>
                <w:kern w:val="0"/>
                <w:sz w:val="28"/>
                <w:szCs w:val="28"/>
                <w:lang w:val="en-US" w:eastAsia="zh-CN"/>
              </w:rPr>
              <w:t>东渡</w:t>
            </w:r>
          </w:p>
        </w:tc>
        <w:tc>
          <w:tcPr>
            <w:tcW w:w="6237" w:type="dxa"/>
            <w:tcBorders>
              <w:top w:val="nil"/>
              <w:left w:val="nil"/>
              <w:bottom w:val="single" w:color="auto" w:sz="4" w:space="0"/>
              <w:right w:val="single" w:color="auto" w:sz="4" w:space="0"/>
            </w:tcBorders>
            <w:shd w:val="clear" w:color="auto" w:fill="auto"/>
            <w:vAlign w:val="center"/>
          </w:tcPr>
          <w:p>
            <w:pPr>
              <w:widowControl/>
              <w:spacing w:line="520" w:lineRule="exact"/>
              <w:jc w:val="left"/>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实现员工和企业共同发展</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携手伙伴互利共赢</w:t>
            </w:r>
            <w:r>
              <w:rPr>
                <w:rFonts w:hint="eastAsia" w:ascii="仿宋" w:hAnsi="仿宋" w:eastAsia="仿宋" w:cs="仿宋"/>
                <w:color w:val="000000"/>
                <w:kern w:val="0"/>
                <w:sz w:val="28"/>
                <w:szCs w:val="28"/>
              </w:rPr>
              <w:br w:type="textWrapping"/>
            </w:r>
            <w:r>
              <w:rPr>
                <w:rFonts w:hint="eastAsia" w:ascii="仿宋" w:hAnsi="仿宋" w:eastAsia="仿宋" w:cs="仿宋"/>
                <w:color w:val="000000"/>
                <w:kern w:val="0"/>
                <w:sz w:val="28"/>
                <w:szCs w:val="28"/>
              </w:rPr>
              <w:t>积极为构建和谐社会贡献力量</w:t>
            </w:r>
          </w:p>
        </w:tc>
      </w:tr>
    </w:tbl>
    <w:p>
      <w:pPr>
        <w:spacing w:line="20" w:lineRule="exact"/>
        <w:rPr>
          <w:rFonts w:hint="eastAsia" w:ascii="仿宋" w:hAnsi="仿宋" w:eastAsia="仿宋" w:cs="仿宋"/>
          <w:sz w:val="28"/>
          <w:szCs w:val="28"/>
        </w:rPr>
      </w:pPr>
    </w:p>
    <w:sectPr>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方正仿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方正仿宋简体">
    <w:altName w:val="微软雅黑"/>
    <w:panose1 w:val="03000509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90697498"/>
      <w:docPartObj>
        <w:docPartGallery w:val="autotext"/>
      </w:docPartObj>
    </w:sdtPr>
    <w:sdtContent>
      <w:p>
        <w:pPr>
          <w:pStyle w:val="9"/>
          <w:jc w:val="center"/>
        </w:pPr>
        <w:r>
          <w:fldChar w:fldCharType="begin"/>
        </w:r>
        <w:r>
          <w:instrText xml:space="preserve"> PAGE   \* MERGEFORMAT </w:instrText>
        </w:r>
        <w:r>
          <w:fldChar w:fldCharType="separate"/>
        </w:r>
        <w:r>
          <w:rPr>
            <w:lang w:val="zh-CN"/>
          </w:rPr>
          <w:t>6</w:t>
        </w:r>
        <w:r>
          <w:rPr>
            <w:lang w:val="zh-CN"/>
          </w:rPr>
          <w:fldChar w:fldCharType="end"/>
        </w:r>
      </w:p>
    </w:sdtContent>
  </w:sdt>
  <w:p>
    <w:pPr>
      <w:pStyle w:val="9"/>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cxMzIzOGJiYTJkZmE0NjQ1YTNkNzljOTk3ODBjMWYifQ=="/>
  </w:docVars>
  <w:rsids>
    <w:rsidRoot w:val="00ED6067"/>
    <w:rsid w:val="00043FCF"/>
    <w:rsid w:val="00060AF3"/>
    <w:rsid w:val="00082FB0"/>
    <w:rsid w:val="000B79E4"/>
    <w:rsid w:val="00104347"/>
    <w:rsid w:val="001467D5"/>
    <w:rsid w:val="001A3F6D"/>
    <w:rsid w:val="00212005"/>
    <w:rsid w:val="00245DFF"/>
    <w:rsid w:val="0025191D"/>
    <w:rsid w:val="00261589"/>
    <w:rsid w:val="00270D35"/>
    <w:rsid w:val="00300AC3"/>
    <w:rsid w:val="00300F77"/>
    <w:rsid w:val="003251B0"/>
    <w:rsid w:val="0036538B"/>
    <w:rsid w:val="00366566"/>
    <w:rsid w:val="00371493"/>
    <w:rsid w:val="003D0487"/>
    <w:rsid w:val="003F40B6"/>
    <w:rsid w:val="00415367"/>
    <w:rsid w:val="00426F10"/>
    <w:rsid w:val="00433398"/>
    <w:rsid w:val="00433768"/>
    <w:rsid w:val="004956F5"/>
    <w:rsid w:val="00496A38"/>
    <w:rsid w:val="004A0038"/>
    <w:rsid w:val="004A78E2"/>
    <w:rsid w:val="004B5E91"/>
    <w:rsid w:val="004D3887"/>
    <w:rsid w:val="004E7106"/>
    <w:rsid w:val="00500511"/>
    <w:rsid w:val="005525BB"/>
    <w:rsid w:val="005533B1"/>
    <w:rsid w:val="00556EEB"/>
    <w:rsid w:val="005762D2"/>
    <w:rsid w:val="005D31EE"/>
    <w:rsid w:val="005D406E"/>
    <w:rsid w:val="00604ED2"/>
    <w:rsid w:val="00617493"/>
    <w:rsid w:val="00626EAD"/>
    <w:rsid w:val="00651236"/>
    <w:rsid w:val="006853C4"/>
    <w:rsid w:val="00690584"/>
    <w:rsid w:val="0069335D"/>
    <w:rsid w:val="00711E63"/>
    <w:rsid w:val="00731F6D"/>
    <w:rsid w:val="00745CCC"/>
    <w:rsid w:val="00783D52"/>
    <w:rsid w:val="007B43B9"/>
    <w:rsid w:val="007B5050"/>
    <w:rsid w:val="007B5283"/>
    <w:rsid w:val="007D0885"/>
    <w:rsid w:val="007D314A"/>
    <w:rsid w:val="007E268D"/>
    <w:rsid w:val="007F1B78"/>
    <w:rsid w:val="008263E8"/>
    <w:rsid w:val="0086332B"/>
    <w:rsid w:val="00865B8A"/>
    <w:rsid w:val="00867904"/>
    <w:rsid w:val="008D5B17"/>
    <w:rsid w:val="00907074"/>
    <w:rsid w:val="0091657B"/>
    <w:rsid w:val="00917A0A"/>
    <w:rsid w:val="00992226"/>
    <w:rsid w:val="00992396"/>
    <w:rsid w:val="009A46C8"/>
    <w:rsid w:val="009A6CFD"/>
    <w:rsid w:val="00A0599F"/>
    <w:rsid w:val="00A13777"/>
    <w:rsid w:val="00A2430C"/>
    <w:rsid w:val="00A24463"/>
    <w:rsid w:val="00A910B6"/>
    <w:rsid w:val="00AC338E"/>
    <w:rsid w:val="00B236DE"/>
    <w:rsid w:val="00B32E11"/>
    <w:rsid w:val="00B54E74"/>
    <w:rsid w:val="00B65E40"/>
    <w:rsid w:val="00BB0077"/>
    <w:rsid w:val="00BD52C1"/>
    <w:rsid w:val="00C10EF8"/>
    <w:rsid w:val="00C124FE"/>
    <w:rsid w:val="00C20556"/>
    <w:rsid w:val="00C279D1"/>
    <w:rsid w:val="00C73381"/>
    <w:rsid w:val="00D06C1E"/>
    <w:rsid w:val="00D40EB4"/>
    <w:rsid w:val="00DC1F98"/>
    <w:rsid w:val="00DF6D0E"/>
    <w:rsid w:val="00E539BF"/>
    <w:rsid w:val="00E54078"/>
    <w:rsid w:val="00E54FEF"/>
    <w:rsid w:val="00E73828"/>
    <w:rsid w:val="00ED6067"/>
    <w:rsid w:val="00F04E18"/>
    <w:rsid w:val="00F104F4"/>
    <w:rsid w:val="00F449C6"/>
    <w:rsid w:val="06A85736"/>
    <w:rsid w:val="111451EF"/>
    <w:rsid w:val="1DE8401E"/>
    <w:rsid w:val="33D33FBE"/>
    <w:rsid w:val="40F325BB"/>
    <w:rsid w:val="42D0060B"/>
    <w:rsid w:val="449E6EF1"/>
    <w:rsid w:val="4D5C73CE"/>
    <w:rsid w:val="50712F45"/>
    <w:rsid w:val="5121608E"/>
    <w:rsid w:val="53915296"/>
    <w:rsid w:val="5A7405A5"/>
    <w:rsid w:val="77F23AEE"/>
    <w:rsid w:val="7FFD29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8"/>
    <w:qFormat/>
    <w:uiPriority w:val="9"/>
    <w:pPr>
      <w:keepNext/>
      <w:keepLines/>
      <w:spacing w:before="340" w:after="330" w:line="578" w:lineRule="auto"/>
      <w:outlineLvl w:val="0"/>
    </w:pPr>
    <w:rPr>
      <w:b/>
      <w:bCs/>
      <w:kern w:val="44"/>
      <w:sz w:val="44"/>
      <w:szCs w:val="44"/>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ind w:firstLine="880" w:firstLineChars="200"/>
    </w:pPr>
    <w:rPr>
      <w:rFonts w:ascii="Times New Roman" w:hAnsi="Times New Roman" w:eastAsia="仿宋_GB2312" w:cs="Times New Roman"/>
      <w:sz w:val="32"/>
    </w:rPr>
  </w:style>
  <w:style w:type="paragraph" w:styleId="4">
    <w:name w:val="Body Text Indent"/>
    <w:basedOn w:val="1"/>
    <w:link w:val="23"/>
    <w:qFormat/>
    <w:uiPriority w:val="0"/>
    <w:pPr>
      <w:spacing w:line="360" w:lineRule="auto"/>
      <w:ind w:firstLine="570"/>
    </w:pPr>
    <w:rPr>
      <w:rFonts w:ascii="宋体" w:hAnsi="宋体" w:eastAsia="宋体" w:cs="Times New Roman"/>
      <w:sz w:val="24"/>
      <w:szCs w:val="28"/>
    </w:rPr>
  </w:style>
  <w:style w:type="paragraph" w:styleId="5">
    <w:name w:val="Block Text"/>
    <w:basedOn w:val="1"/>
    <w:qFormat/>
    <w:uiPriority w:val="0"/>
    <w:pPr>
      <w:spacing w:before="100" w:beforeAutospacing="1" w:after="100" w:afterAutospacing="1"/>
      <w:ind w:left="720" w:right="720"/>
    </w:pPr>
    <w:rPr>
      <w:sz w:val="18"/>
    </w:rPr>
  </w:style>
  <w:style w:type="paragraph" w:styleId="6">
    <w:name w:val="toc 3"/>
    <w:basedOn w:val="1"/>
    <w:next w:val="1"/>
    <w:unhideWhenUsed/>
    <w:qFormat/>
    <w:uiPriority w:val="39"/>
    <w:pPr>
      <w:widowControl/>
      <w:spacing w:after="100" w:line="276" w:lineRule="auto"/>
      <w:ind w:left="440"/>
      <w:jc w:val="left"/>
    </w:pPr>
    <w:rPr>
      <w:kern w:val="0"/>
      <w:sz w:val="22"/>
    </w:rPr>
  </w:style>
  <w:style w:type="paragraph" w:styleId="7">
    <w:name w:val="Plain Text"/>
    <w:basedOn w:val="1"/>
    <w:link w:val="24"/>
    <w:unhideWhenUsed/>
    <w:qFormat/>
    <w:uiPriority w:val="99"/>
    <w:pPr>
      <w:widowControl/>
    </w:pPr>
    <w:rPr>
      <w:rFonts w:ascii="宋体" w:hAnsi="宋体" w:eastAsia="宋体" w:cs="宋体"/>
      <w:kern w:val="0"/>
      <w:szCs w:val="21"/>
    </w:rPr>
  </w:style>
  <w:style w:type="paragraph" w:styleId="8">
    <w:name w:val="Balloon Text"/>
    <w:basedOn w:val="1"/>
    <w:link w:val="25"/>
    <w:semiHidden/>
    <w:unhideWhenUsed/>
    <w:qFormat/>
    <w:uiPriority w:val="99"/>
    <w:rPr>
      <w:sz w:val="18"/>
      <w:szCs w:val="18"/>
    </w:rPr>
  </w:style>
  <w:style w:type="paragraph" w:styleId="9">
    <w:name w:val="footer"/>
    <w:basedOn w:val="1"/>
    <w:link w:val="21"/>
    <w:unhideWhenUsed/>
    <w:qFormat/>
    <w:uiPriority w:val="99"/>
    <w:pPr>
      <w:tabs>
        <w:tab w:val="center" w:pos="4153"/>
        <w:tab w:val="right" w:pos="8306"/>
      </w:tabs>
      <w:snapToGrid w:val="0"/>
      <w:jc w:val="left"/>
    </w:pPr>
    <w:rPr>
      <w:sz w:val="18"/>
      <w:szCs w:val="18"/>
    </w:rPr>
  </w:style>
  <w:style w:type="paragraph" w:styleId="10">
    <w:name w:val="header"/>
    <w:basedOn w:val="1"/>
    <w:link w:val="2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spacing w:after="100" w:line="276" w:lineRule="auto"/>
      <w:jc w:val="left"/>
    </w:pPr>
    <w:rPr>
      <w:kern w:val="0"/>
      <w:sz w:val="22"/>
    </w:rPr>
  </w:style>
  <w:style w:type="paragraph" w:styleId="12">
    <w:name w:val="toc 2"/>
    <w:basedOn w:val="1"/>
    <w:next w:val="1"/>
    <w:unhideWhenUsed/>
    <w:qFormat/>
    <w:uiPriority w:val="39"/>
    <w:pPr>
      <w:widowControl/>
      <w:spacing w:after="100" w:line="276" w:lineRule="auto"/>
      <w:ind w:left="220"/>
      <w:jc w:val="left"/>
    </w:pPr>
    <w:rPr>
      <w:kern w:val="0"/>
      <w:sz w:val="22"/>
    </w:rPr>
  </w:style>
  <w:style w:type="paragraph" w:styleId="13">
    <w:name w:val="Body Text 2"/>
    <w:basedOn w:val="1"/>
    <w:link w:val="26"/>
    <w:semiHidden/>
    <w:unhideWhenUsed/>
    <w:qFormat/>
    <w:uiPriority w:val="99"/>
    <w:pPr>
      <w:spacing w:after="120" w:line="480" w:lineRule="auto"/>
    </w:pPr>
  </w:style>
  <w:style w:type="paragraph" w:styleId="14">
    <w:name w:val="Normal (Web)"/>
    <w:basedOn w:val="1"/>
    <w:semiHidden/>
    <w:unhideWhenUsed/>
    <w:qFormat/>
    <w:uiPriority w:val="99"/>
    <w:pPr>
      <w:widowControl/>
      <w:spacing w:before="100" w:beforeAutospacing="1" w:after="100" w:afterAutospacing="1"/>
      <w:jc w:val="left"/>
    </w:pPr>
    <w:rPr>
      <w:rFonts w:ascii="宋体" w:hAnsi="宋体" w:eastAsia="宋体" w:cs="宋体"/>
      <w:color w:val="000000"/>
      <w:kern w:val="0"/>
      <w:sz w:val="24"/>
      <w:szCs w:val="24"/>
    </w:rPr>
  </w:style>
  <w:style w:type="table" w:styleId="16">
    <w:name w:val="Table Grid"/>
    <w:basedOn w:val="15"/>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Strong"/>
    <w:basedOn w:val="17"/>
    <w:qFormat/>
    <w:uiPriority w:val="22"/>
    <w:rPr>
      <w:b/>
      <w:bCs/>
    </w:rPr>
  </w:style>
  <w:style w:type="character" w:styleId="19">
    <w:name w:val="Hyperlink"/>
    <w:basedOn w:val="17"/>
    <w:semiHidden/>
    <w:unhideWhenUsed/>
    <w:qFormat/>
    <w:uiPriority w:val="99"/>
    <w:rPr>
      <w:color w:val="0000FF"/>
      <w:u w:val="single"/>
    </w:rPr>
  </w:style>
  <w:style w:type="character" w:customStyle="1" w:styleId="20">
    <w:name w:val="页眉 Char"/>
    <w:basedOn w:val="17"/>
    <w:link w:val="10"/>
    <w:semiHidden/>
    <w:qFormat/>
    <w:uiPriority w:val="99"/>
    <w:rPr>
      <w:sz w:val="18"/>
      <w:szCs w:val="18"/>
    </w:rPr>
  </w:style>
  <w:style w:type="character" w:customStyle="1" w:styleId="21">
    <w:name w:val="页脚 Char"/>
    <w:basedOn w:val="17"/>
    <w:link w:val="9"/>
    <w:qFormat/>
    <w:uiPriority w:val="99"/>
    <w:rPr>
      <w:sz w:val="18"/>
      <w:szCs w:val="18"/>
    </w:rPr>
  </w:style>
  <w:style w:type="paragraph" w:styleId="22">
    <w:name w:val="List Paragraph"/>
    <w:basedOn w:val="1"/>
    <w:qFormat/>
    <w:uiPriority w:val="34"/>
    <w:pPr>
      <w:ind w:firstLine="420" w:firstLineChars="200"/>
    </w:pPr>
  </w:style>
  <w:style w:type="character" w:customStyle="1" w:styleId="23">
    <w:name w:val="正文文本缩进 Char"/>
    <w:basedOn w:val="17"/>
    <w:link w:val="4"/>
    <w:qFormat/>
    <w:uiPriority w:val="0"/>
    <w:rPr>
      <w:rFonts w:ascii="宋体" w:hAnsi="宋体" w:eastAsia="宋体" w:cs="Times New Roman"/>
      <w:sz w:val="24"/>
      <w:szCs w:val="28"/>
    </w:rPr>
  </w:style>
  <w:style w:type="character" w:customStyle="1" w:styleId="24">
    <w:name w:val="纯文本 Char"/>
    <w:basedOn w:val="17"/>
    <w:link w:val="7"/>
    <w:qFormat/>
    <w:uiPriority w:val="99"/>
    <w:rPr>
      <w:rFonts w:ascii="宋体" w:hAnsi="宋体" w:eastAsia="宋体" w:cs="宋体"/>
      <w:kern w:val="0"/>
      <w:szCs w:val="21"/>
    </w:rPr>
  </w:style>
  <w:style w:type="character" w:customStyle="1" w:styleId="25">
    <w:name w:val="批注框文本 Char"/>
    <w:basedOn w:val="17"/>
    <w:link w:val="8"/>
    <w:semiHidden/>
    <w:qFormat/>
    <w:uiPriority w:val="99"/>
    <w:rPr>
      <w:sz w:val="18"/>
      <w:szCs w:val="18"/>
    </w:rPr>
  </w:style>
  <w:style w:type="character" w:customStyle="1" w:styleId="26">
    <w:name w:val="正文文本 2 Char"/>
    <w:basedOn w:val="17"/>
    <w:link w:val="13"/>
    <w:semiHidden/>
    <w:qFormat/>
    <w:uiPriority w:val="99"/>
  </w:style>
  <w:style w:type="paragraph" w:customStyle="1" w:styleId="27">
    <w:name w:val="列出段落2"/>
    <w:basedOn w:val="1"/>
    <w:qFormat/>
    <w:uiPriority w:val="99"/>
    <w:pPr>
      <w:ind w:firstLine="420" w:firstLineChars="200"/>
    </w:pPr>
    <w:rPr>
      <w:rFonts w:ascii="Calibri" w:hAnsi="Calibri" w:eastAsia="宋体" w:cs="黑体"/>
    </w:rPr>
  </w:style>
  <w:style w:type="character" w:customStyle="1" w:styleId="28">
    <w:name w:val="标题 1 Char"/>
    <w:basedOn w:val="17"/>
    <w:link w:val="3"/>
    <w:qFormat/>
    <w:uiPriority w:val="9"/>
    <w:rPr>
      <w:b/>
      <w:bCs/>
      <w:kern w:val="44"/>
      <w:sz w:val="44"/>
      <w:szCs w:val="44"/>
    </w:rPr>
  </w:style>
  <w:style w:type="paragraph" w:customStyle="1" w:styleId="29">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63FD02-E3F0-4325-8A89-FCEE8F618FBE}">
  <ds:schemaRefs/>
</ds:datastoreItem>
</file>

<file path=docProps/app.xml><?xml version="1.0" encoding="utf-8"?>
<Properties xmlns="http://schemas.openxmlformats.org/officeDocument/2006/extended-properties" xmlns:vt="http://schemas.openxmlformats.org/officeDocument/2006/docPropsVTypes">
  <Template>Normal</Template>
  <Company>雨林木风</Company>
  <Pages>16</Pages>
  <Words>8378</Words>
  <Characters>8587</Characters>
  <Lines>58</Lines>
  <Paragraphs>16</Paragraphs>
  <TotalTime>3</TotalTime>
  <ScaleCrop>false</ScaleCrop>
  <LinksUpToDate>false</LinksUpToDate>
  <CharactersWithSpaces>8636</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2017-10-09T07:03:00Z</dcterms:created>
  <dc:creator>161860</dc:creator>
  <cp:lastModifiedBy>violet</cp:lastModifiedBy>
  <dcterms:modified xsi:type="dcterms:W3CDTF">2023-06-21T02:08:53Z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9C8AAD40FE9748CDA29E3B0A19CDDE8A</vt:lpwstr>
  </property>
</Properties>
</file>